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30" w:lineRule="atLeast"/>
        <w:ind w:left="1200" w:leftChars="500" w:right="-720" w:rightChars="-30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0"/>
          <w:szCs w:val="40"/>
          <w:shd w:val="clear" w:fill="FFFFFF"/>
          <w:lang w:val="en-US" w:eastAsia="zh-CN"/>
        </w:rPr>
        <w:t>安全生产月线上观摩名单及观摩时间</w:t>
      </w:r>
    </w:p>
    <w:tbl>
      <w:tblPr>
        <w:tblStyle w:val="3"/>
        <w:tblW w:w="1310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5"/>
        <w:gridCol w:w="2835"/>
        <w:gridCol w:w="2543"/>
        <w:gridCol w:w="1530"/>
        <w:gridCol w:w="1545"/>
        <w:gridCol w:w="1442"/>
        <w:gridCol w:w="937"/>
        <w:gridCol w:w="17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项目名称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建设单位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施工单位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监理单位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监督单位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所在区域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线上观摩时间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5" w:hRule="exac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庆盛枢纽区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块综合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开发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项目庆盛人工智能产业园及安置区配套工程安置房工程A地块西区+B地块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广州市南沙新区产业园区开发建设管理局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中铁建设集团南方工程有限公司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广东财贸建设工程顾问有限公司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南沙区质安站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南沙区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6月14日上午9.30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1" w:hRule="exac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粤港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澳大湾区（广州）科技金融中心二期工程项目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广州尚龙置业有限公司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中建三局篥团有限公司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广州珠江工程建设监理有限公司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黄埔区质安站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黄埔区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6月16日上午9.30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6" w:hRule="exac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海珠赤沙车辆段开发项目一期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广州市品臻房地产开发有限公司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中铁建工集团有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限公司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广州珠江工程建设监理有限公司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海珠区质安站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海珠区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6月23日上午9.30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6" w:hRule="exac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番禺汉渓大道北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BA090211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1地项目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1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广州越秀城开房地产开发有限公司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中国建筑第四工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程局有限公司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广州越建工程管理有限公司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番禺区质安站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番禺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6月28日上午9.30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1" w:hRule="exac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1" w:lineRule="exact"/>
              <w:ind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白云机场三期扩建工程周边临空 经济产业园区基础设施一期工程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1" w:lineRule="exact"/>
              <w:ind w:left="0" w:leftChars="0" w:right="0" w:rightChars="0"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（平西安置区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•南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区）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广州机场建设投资集团有限公司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广州建筑股份有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限公司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广州建筑工程监理有限公司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花都区质安站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花都区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6月30日上午9.30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1" w:hRule="exac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广州市万致房地产有限公司新塘东洲项目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地块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广州市万致房地产有限公司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中建二局第三建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筑工程有限公司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广东建科建设咨询有限公司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增城区质安站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增城区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6月21日上午9.30</w:t>
            </w:r>
          </w:p>
        </w:tc>
      </w:tr>
    </w:tbl>
    <w:p/>
    <w:sectPr>
      <w:footnotePr>
        <w:numFmt w:val="decimal"/>
      </w:footnotePr>
      <w:pgSz w:w="16840" w:h="11900" w:orient="landscape"/>
      <w:pgMar w:top="1128" w:right="4239" w:bottom="952" w:left="2281" w:header="5343" w:footer="5210" w:gutter="0"/>
      <w:pgNumType w:start="1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GE2YjJiNDExNDJlZjlkNzkyMmUxN2Y0OWJhOGExY2QifQ=="/>
  </w:docVars>
  <w:rsids>
    <w:rsidRoot w:val="00000000"/>
    <w:rsid w:val="0EEE103A"/>
    <w:rsid w:val="17F10D29"/>
    <w:rsid w:val="1A2873FE"/>
    <w:rsid w:val="3EA00338"/>
    <w:rsid w:val="463B13F8"/>
    <w:rsid w:val="4969372E"/>
    <w:rsid w:val="4DAF1766"/>
    <w:rsid w:val="70AB6D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ody text|2_"/>
    <w:basedOn w:val="4"/>
    <w:link w:val="6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link w:val="5"/>
    <w:qFormat/>
    <w:uiPriority w:val="0"/>
    <w:pPr>
      <w:widowControl w:val="0"/>
      <w:shd w:val="clear" w:color="auto" w:fill="auto"/>
      <w:spacing w:after="180"/>
      <w:ind w:firstLine="74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after="180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9">
    <w:name w:val="Other|1_"/>
    <w:basedOn w:val="4"/>
    <w:link w:val="10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link w:val="9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532</Words>
  <Characters>565</Characters>
  <TotalTime>2</TotalTime>
  <ScaleCrop>false</ScaleCrop>
  <LinksUpToDate>false</LinksUpToDate>
  <CharactersWithSpaces>566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2022-06-08T03:15:00Z</dcterms:created>
  <dc:creator>gongchengbu</dc:creator>
  <cp:lastModifiedBy>Y。</cp:lastModifiedBy>
  <dcterms:modified xsi:type="dcterms:W3CDTF">2022-06-10T08:37:53Z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5E0924025C5D40BBA894BCE7D7BFD286</vt:lpwstr>
  </property>
</Properties>
</file>