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11" w:lineRule="exact"/>
        <w:jc w:val="center"/>
        <w:rPr>
          <w:rFonts w:hint="eastAsia" w:ascii="创艺简" w:hAnsi="创艺简" w:eastAsia="创艺简" w:cs="创艺简"/>
          <w:sz w:val="36"/>
          <w:szCs w:val="36"/>
          <w:lang w:val="en-US" w:eastAsia="zh-CN"/>
        </w:rPr>
      </w:pPr>
      <w:r>
        <w:rPr>
          <w:rFonts w:hint="eastAsia" w:ascii="创艺简" w:hAnsi="创艺简" w:eastAsia="创艺简" w:cs="创艺简"/>
          <w:sz w:val="36"/>
          <w:szCs w:val="36"/>
        </w:rPr>
        <w:t>广州市建筑业“链长制”工作示范企业（工程总承包）遴选指标</w:t>
      </w:r>
      <w:r>
        <w:rPr>
          <w:rFonts w:hint="eastAsia" w:ascii="创艺简" w:hAnsi="创艺简" w:eastAsia="创艺简" w:cs="创艺简"/>
          <w:sz w:val="36"/>
          <w:szCs w:val="36"/>
          <w:lang w:val="en-US" w:eastAsia="zh-CN"/>
        </w:rPr>
        <w:t>自评表</w:t>
      </w:r>
    </w:p>
    <w:p>
      <w:pPr>
        <w:spacing w:before="5" w:line="200" w:lineRule="exact"/>
        <w:jc w:val="left"/>
        <w:rPr>
          <w:rFonts w:ascii="宋体" w:hAnsi="宋体" w:cs="宋体"/>
          <w:sz w:val="24"/>
          <w:szCs w:val="24"/>
        </w:rPr>
      </w:pPr>
    </w:p>
    <w:p>
      <w:pPr>
        <w:spacing w:before="5" w:line="200" w:lineRule="exact"/>
        <w:jc w:val="left"/>
        <w:rPr>
          <w:rFonts w:ascii="宋体" w:hAnsi="宋体" w:cs="宋体"/>
          <w:sz w:val="24"/>
          <w:szCs w:val="24"/>
        </w:rPr>
      </w:pPr>
    </w:p>
    <w:tbl>
      <w:tblPr>
        <w:tblStyle w:val="4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379"/>
        <w:gridCol w:w="2013"/>
        <w:gridCol w:w="3296"/>
        <w:gridCol w:w="950"/>
        <w:gridCol w:w="5383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tblHeader/>
          <w:jc w:val="center"/>
        </w:trPr>
        <w:tc>
          <w:tcPr>
            <w:tcW w:w="834" w:type="dxa"/>
          </w:tcPr>
          <w:p>
            <w:pPr>
              <w:spacing w:before="240" w:line="720" w:lineRule="auto"/>
              <w:ind w:right="-20"/>
              <w:jc w:val="center"/>
              <w:rPr>
                <w:rFonts w:ascii="宋体" w:hAnsi="宋体" w:cs="宋体"/>
                <w:b/>
                <w:bCs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2"/>
                <w:position w:val="-2"/>
                <w:sz w:val="24"/>
                <w:szCs w:val="24"/>
              </w:rPr>
              <w:t>序号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position w:val="-2"/>
                <w:sz w:val="24"/>
                <w:szCs w:val="24"/>
              </w:rPr>
              <w:t>一</w:t>
            </w:r>
            <w:r>
              <w:rPr>
                <w:rFonts w:hint="eastAsia" w:ascii="宋体" w:hAnsi="宋体" w:cs="宋体"/>
                <w:b/>
                <w:bCs/>
                <w:spacing w:val="2"/>
                <w:position w:val="-2"/>
                <w:sz w:val="24"/>
                <w:szCs w:val="24"/>
              </w:rPr>
              <w:t>级</w:t>
            </w:r>
            <w:r>
              <w:rPr>
                <w:rFonts w:hint="eastAsia" w:ascii="宋体" w:hAnsi="宋体" w:cs="宋体"/>
                <w:b/>
                <w:bCs/>
                <w:position w:val="-2"/>
                <w:sz w:val="24"/>
                <w:szCs w:val="24"/>
              </w:rPr>
              <w:t>指标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position w:val="-2"/>
                <w:sz w:val="24"/>
                <w:szCs w:val="24"/>
              </w:rPr>
              <w:t>二</w:t>
            </w:r>
            <w:r>
              <w:rPr>
                <w:rFonts w:hint="eastAsia" w:ascii="宋体" w:hAnsi="宋体" w:cs="宋体"/>
                <w:b/>
                <w:bCs/>
                <w:spacing w:val="2"/>
                <w:position w:val="-2"/>
                <w:sz w:val="24"/>
                <w:szCs w:val="24"/>
              </w:rPr>
              <w:t>级</w:t>
            </w:r>
            <w:r>
              <w:rPr>
                <w:rFonts w:hint="eastAsia" w:ascii="宋体" w:hAnsi="宋体" w:cs="宋体"/>
                <w:b/>
                <w:bCs/>
                <w:position w:val="-2"/>
                <w:sz w:val="24"/>
                <w:szCs w:val="24"/>
              </w:rPr>
              <w:t>指标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position w:val="-2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b/>
                <w:bCs/>
                <w:spacing w:val="2"/>
                <w:position w:val="-2"/>
                <w:sz w:val="24"/>
                <w:szCs w:val="24"/>
              </w:rPr>
              <w:t>标</w:t>
            </w:r>
            <w:r>
              <w:rPr>
                <w:rFonts w:hint="eastAsia" w:ascii="宋体" w:hAnsi="宋体" w:cs="宋体"/>
                <w:b/>
                <w:bCs/>
                <w:position w:val="-2"/>
                <w:sz w:val="24"/>
                <w:szCs w:val="24"/>
              </w:rPr>
              <w:t>单</w:t>
            </w:r>
            <w:r>
              <w:rPr>
                <w:rFonts w:hint="eastAsia" w:ascii="宋体" w:hAnsi="宋体" w:cs="宋体"/>
                <w:b/>
                <w:bCs/>
                <w:spacing w:val="2"/>
                <w:position w:val="-2"/>
                <w:sz w:val="24"/>
                <w:szCs w:val="24"/>
              </w:rPr>
              <w:t>位</w:t>
            </w:r>
            <w:r>
              <w:rPr>
                <w:rFonts w:hint="eastAsia" w:ascii="宋体" w:hAnsi="宋体" w:cs="宋体"/>
                <w:b/>
                <w:bCs/>
                <w:position w:val="-2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/>
                <w:bCs/>
                <w:spacing w:val="2"/>
                <w:position w:val="-2"/>
                <w:sz w:val="24"/>
                <w:szCs w:val="24"/>
              </w:rPr>
              <w:t>公</w:t>
            </w:r>
            <w:r>
              <w:rPr>
                <w:rFonts w:hint="eastAsia" w:ascii="宋体" w:hAnsi="宋体" w:cs="宋体"/>
                <w:b/>
                <w:bCs/>
                <w:position w:val="-2"/>
                <w:sz w:val="24"/>
                <w:szCs w:val="24"/>
              </w:rPr>
              <w:t>式</w:t>
            </w:r>
            <w:r>
              <w:rPr>
                <w:rFonts w:hint="eastAsia" w:ascii="宋体" w:hAnsi="宋体" w:cs="宋体"/>
                <w:b/>
                <w:bCs/>
                <w:spacing w:val="2"/>
                <w:position w:val="-2"/>
                <w:sz w:val="24"/>
                <w:szCs w:val="24"/>
              </w:rPr>
              <w:t>或</w:t>
            </w:r>
            <w:r>
              <w:rPr>
                <w:rFonts w:hint="eastAsia" w:ascii="宋体" w:hAnsi="宋体" w:cs="宋体"/>
                <w:b/>
                <w:bCs/>
                <w:position w:val="-2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b/>
                <w:bCs/>
                <w:spacing w:val="2"/>
                <w:position w:val="-2"/>
                <w:sz w:val="24"/>
                <w:szCs w:val="24"/>
              </w:rPr>
              <w:t>标</w:t>
            </w:r>
            <w:r>
              <w:rPr>
                <w:rFonts w:hint="eastAsia" w:ascii="宋体" w:hAnsi="宋体" w:cs="宋体"/>
                <w:b/>
                <w:bCs/>
                <w:position w:val="-2"/>
                <w:sz w:val="24"/>
                <w:szCs w:val="24"/>
              </w:rPr>
              <w:t>解释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position w:val="-2"/>
                <w:sz w:val="24"/>
                <w:szCs w:val="24"/>
              </w:rPr>
              <w:t>分值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b/>
                <w:bCs/>
                <w:position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right="-2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  <w:lang w:val="en-US" w:eastAsia="zh-CN"/>
              </w:rPr>
              <w:t>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exact"/>
          <w:jc w:val="center"/>
        </w:trPr>
        <w:tc>
          <w:tcPr>
            <w:tcW w:w="834" w:type="dxa"/>
            <w:vMerge w:val="restart"/>
          </w:tcPr>
          <w:p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1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综合效益</w:t>
            </w:r>
          </w:p>
          <w:p>
            <w:pPr>
              <w:spacing w:line="360" w:lineRule="auto"/>
              <w:ind w:left="215" w:right="20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（16分）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left="105" w:leftChars="5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营业收入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营业收入=主营业务收入+其他业务收入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right="439"/>
              <w:jc w:val="center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5分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平均营业收入100亿元以上得5分，80-100亿元得3分，50-80亿元得1分，最高得5分。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left="105" w:leftChars="5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利润总额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/>
                <w:position w:val="-2"/>
                <w:sz w:val="24"/>
                <w:szCs w:val="24"/>
              </w:rPr>
              <w:t>利润总额=营业利润+营业外收入-营业外支出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right="439"/>
              <w:jc w:val="center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5分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平均利润总额3亿及以上得5分，2-3（不含）亿得3分，1-2（不含）亿得1分，最高得5分。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exact"/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left="105" w:leftChars="5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利润总额增长率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/>
                <w:position w:val="-2"/>
                <w:sz w:val="24"/>
                <w:szCs w:val="24"/>
              </w:rPr>
              <w:t>利润总额增长率=（年利润增长额/上年利润总额）×100%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right="439"/>
              <w:jc w:val="center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3分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平均利润总额增长率大于15%得3分，10-15%得2分，5-10%得1分。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left="105" w:leftChars="5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总资产增长率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总资产增长率=（本年总资产增长额/年初资产总额）×100%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right="439"/>
              <w:jc w:val="center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3分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平均总资产增长率大于15%得3分，10-15%得2分，5-10%得1分。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  <w:jc w:val="center"/>
        </w:trPr>
        <w:tc>
          <w:tcPr>
            <w:tcW w:w="834" w:type="dxa"/>
            <w:vMerge w:val="restart"/>
          </w:tcPr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2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产业联动</w:t>
            </w:r>
          </w:p>
          <w:p>
            <w:pPr>
              <w:spacing w:before="8"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（17分）</w:t>
            </w: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资质覆盖面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企业资质情况、级别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right="439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5分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 w:right="-2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具备特级资质得5分，具备3项及以上施工总承包一级资质得3分，具备1-2项施工总承包一级资质得1分，最高得5分。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 w:right="-20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exact"/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在建施工项目合同额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在建项目合同额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right="439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5分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 w:right="-2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5亿元以上项目，每项得1分，最高得5分。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 w:right="-20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exact"/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产业价值链的</w:t>
            </w:r>
          </w:p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完备程度</w:t>
            </w:r>
          </w:p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纵向产业链（上中下游供需链）以及横向产业链（产业配套协作链）是否完备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right="428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4分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企业根据公司的经营范围，简单描述自身的产业链情况，并提供相关证明资料。优得4分，良得2分，中得1分，差得0分。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 w:right="41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 w:hRule="exact"/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对行业的示范引领</w:t>
            </w:r>
          </w:p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作用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积极发挥企业的示范作用，带动行业的转型升级、推进产业链高质量发展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right="429"/>
              <w:jc w:val="right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3分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right="6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企业根据公司的经营范围，简单描述本单位在行业的引领作用，并提供相关证明资料。优得3分，良得2分，中得1分，差得0分。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right="6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exact"/>
          <w:jc w:val="center"/>
        </w:trPr>
        <w:tc>
          <w:tcPr>
            <w:tcW w:w="834" w:type="dxa"/>
            <w:vMerge w:val="restart"/>
          </w:tcPr>
          <w:p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Cs/>
                <w:spacing w:val="-1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right="42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创新水平</w:t>
            </w:r>
          </w:p>
          <w:p>
            <w:pPr>
              <w:spacing w:line="360" w:lineRule="auto"/>
              <w:ind w:left="201" w:right="184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（15 分）</w:t>
            </w:r>
          </w:p>
          <w:p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right="42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创新水平</w:t>
            </w:r>
          </w:p>
          <w:p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（15 分）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技术中心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拥有研发中心、技术中心、产业基地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1.拥有国家级研发中心、技术中心、产业基地的得3分；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2.拥有省级研发中心、技术中心、产业基地1个得2分，省级2个及以上的，得3分；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3.其他不得分。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高新技术企业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 w:right="47" w:firstLine="2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指在《国家重点支持的高新技术领域》内，持续进行研究开发与技术成果转化，形成企业核心自主知识产权，并以此为基础开展经营活动，在中国境内（不包括港、澳、台地区）注册一年以上的居民企业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right="27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3分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 w:right="47" w:firstLine="2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指在《国家重点支持的高新技术领域》内，持续进行研究开发与技术成果转化，形成企业核心自主知识产权，并以此为基础开展经营活动在中国境内（不包括港、澳、台地区）注册一年以上的居民企业。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 w:right="47" w:firstLine="2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exact"/>
          <w:jc w:val="center"/>
        </w:trPr>
        <w:tc>
          <w:tcPr>
            <w:tcW w:w="834" w:type="dxa"/>
            <w:vMerge w:val="restart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知识产权授权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数量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包括发明专利、实用新型专利、工法和软件著作权等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1.国家级发明专利、实用新型专利、工法和软件著作权，5项为 1 分，上限 3 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2.省级发明专利、实用新型专利、工法和软件著作权，10项为 1 分，上限 3 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3.其他不得分。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right="19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高层次人才</w:t>
            </w:r>
          </w:p>
          <w:p>
            <w:pPr>
              <w:spacing w:line="360" w:lineRule="auto"/>
              <w:ind w:right="19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数量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引入的行业领军人物、高层次人才（符合广州市评定条件）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left="310" w:right="288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企业拥有行业领军人物、高层次人才（含享受国务院津贴专家），每1名得1.5分，最高得3分。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right="-2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智能建造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过程 BIM 技术应用、智能生产、建筑机器人、智慧工地、建筑产业互联网等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left="310" w:right="288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3分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 w:right="39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全过程BIM技术应用、智能生产、建筑机器人、智慧工地、建筑产业互联网等，每项得1.5分，最高得3分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 w:right="39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exact"/>
          <w:jc w:val="center"/>
        </w:trPr>
        <w:tc>
          <w:tcPr>
            <w:tcW w:w="834" w:type="dxa"/>
            <w:vMerge w:val="restart"/>
          </w:tcPr>
          <w:p>
            <w:pPr>
              <w:spacing w:line="360" w:lineRule="auto"/>
              <w:ind w:left="59"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59"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59"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4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360" w:lineRule="auto"/>
              <w:ind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市场竞争</w:t>
            </w:r>
          </w:p>
          <w:p>
            <w:pPr>
              <w:spacing w:line="360" w:lineRule="auto"/>
              <w:ind w:left="215" w:right="20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position w:val="-2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 xml:space="preserve"> 分）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left="105" w:leftChars="5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上市企业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上市情况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5分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在上交、深交、北交、三板以上板块上市的得5分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exact"/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left="105" w:leftChars="5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500 强企业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世界 、国内 500 强情况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10分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世界 500 强 10 分；国内 500 强 3 分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exact"/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left="105" w:leftChars="5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签订合同额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近三年签订合同额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/>
                <w:position w:val="-2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平均签订合同额100亿元及以上得5分，80-100（不含）亿元得3分，50-80（不含）亿元得1分。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exact"/>
          <w:jc w:val="center"/>
        </w:trPr>
        <w:tc>
          <w:tcPr>
            <w:tcW w:w="834" w:type="dxa"/>
          </w:tcPr>
          <w:p>
            <w:pPr>
              <w:spacing w:line="360" w:lineRule="auto"/>
              <w:ind w:left="60"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5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360" w:lineRule="auto"/>
              <w:ind w:left="60"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产业聚集</w:t>
            </w:r>
          </w:p>
          <w:p>
            <w:pPr>
              <w:spacing w:line="360" w:lineRule="auto"/>
              <w:ind w:left="216" w:right="20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（9分）</w:t>
            </w:r>
          </w:p>
          <w:p>
            <w:pPr>
              <w:spacing w:line="360" w:lineRule="auto"/>
              <w:ind w:right="200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right="200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产业聚集</w:t>
            </w:r>
          </w:p>
          <w:p>
            <w:pPr>
              <w:spacing w:line="360" w:lineRule="auto"/>
              <w:ind w:left="216" w:right="20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（9分）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建设（运营）产业园区</w:t>
            </w:r>
          </w:p>
        </w:tc>
        <w:tc>
          <w:tcPr>
            <w:tcW w:w="3296" w:type="dxa"/>
          </w:tcPr>
          <w:p>
            <w:pPr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建设或运营产业园项目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left="105" w:leftChars="5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5分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建设或运营总投资10亿元及以上产业园项目，每项得5分，上限5分。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exact"/>
          <w:jc w:val="center"/>
        </w:trPr>
        <w:tc>
          <w:tcPr>
            <w:tcW w:w="834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left="68" w:right="49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产业园区定位、特色、规模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企业自主描述</w:t>
            </w:r>
          </w:p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4分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优得4分，良得2分，中得1分，差得0分。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auto"/>
              <w:ind w:left="105" w:leftChars="50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exact"/>
          <w:jc w:val="center"/>
        </w:trPr>
        <w:tc>
          <w:tcPr>
            <w:tcW w:w="834" w:type="dxa"/>
            <w:vMerge w:val="restart"/>
          </w:tcPr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Cs/>
                <w:spacing w:val="-1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right="241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分）</w:t>
            </w: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分）</w:t>
            </w: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right="128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</w:p>
          <w:p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分）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“守合同重信用”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left="103" w:right="-2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按市场监督管理局、工商行政管理局公示证书年数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left="104"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104"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/>
                <w:position w:val="-2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383" w:type="dxa"/>
          </w:tcPr>
          <w:p>
            <w:pPr>
              <w:spacing w:line="360" w:lineRule="auto"/>
              <w:ind w:left="103" w:right="-20"/>
              <w:jc w:val="left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>
            <w:pPr>
              <w:spacing w:line="360" w:lineRule="auto"/>
              <w:ind w:left="103" w:right="-20"/>
              <w:jc w:val="left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按市场监督管理局、工商行政管理局公示证书年数，单位：年。</w:t>
            </w:r>
          </w:p>
          <w:p>
            <w:pPr>
              <w:spacing w:line="360" w:lineRule="auto"/>
              <w:ind w:left="103" w:right="-20"/>
              <w:jc w:val="left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连续25年以上得</w:t>
            </w:r>
            <w:r>
              <w:rPr>
                <w:rFonts w:ascii="宋体" w:hAnsi="宋体" w:cs="宋体"/>
                <w:position w:val="-2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分，连续20-25 年得</w:t>
            </w:r>
            <w:r>
              <w:rPr>
                <w:rFonts w:ascii="宋体" w:hAnsi="宋体" w:cs="宋体"/>
                <w:position w:val="-2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分，连续10-20年得</w:t>
            </w:r>
            <w:r>
              <w:rPr>
                <w:rFonts w:ascii="宋体" w:hAnsi="宋体" w:cs="宋体"/>
                <w:position w:val="-2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分，最高得</w:t>
            </w:r>
            <w:r>
              <w:rPr>
                <w:rFonts w:ascii="宋体" w:hAnsi="宋体" w:cs="宋体"/>
                <w:position w:val="-2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分。</w:t>
            </w:r>
          </w:p>
        </w:tc>
        <w:tc>
          <w:tcPr>
            <w:tcW w:w="893" w:type="dxa"/>
          </w:tcPr>
          <w:p>
            <w:pPr>
              <w:spacing w:line="360" w:lineRule="auto"/>
              <w:ind w:left="103" w:right="-20"/>
              <w:jc w:val="left"/>
              <w:rPr>
                <w:rFonts w:hint="eastAsia" w:ascii="宋体" w:hAnsi="宋体" w:cs="宋体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7"/>
              <w:spacing w:before="69" w:line="360" w:lineRule="exact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科技类、技术类奖项</w:t>
            </w:r>
          </w:p>
        </w:tc>
        <w:tc>
          <w:tcPr>
            <w:tcW w:w="3296" w:type="dxa"/>
            <w:vAlign w:val="center"/>
          </w:tcPr>
          <w:p>
            <w:pPr>
              <w:pStyle w:val="7"/>
              <w:spacing w:line="360" w:lineRule="exact"/>
              <w:ind w:left="102"/>
              <w:jc w:val="left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获得科学技术类奖项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2"/>
                <w:sz w:val="24"/>
                <w:szCs w:val="24"/>
              </w:rPr>
              <w:t>5分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1.获得国家行政主管部门科技奖、技术类奖项每1项2分。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2.获得国家级行业协会、省级行政主管部门的科技类、技术类奖项每1项1分；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3.获得广东省广州市行业协会的科技类、技术类奖项每2项1分；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同一项目获多个奖项的，按最高级别统计。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上限5分。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6" w:hRule="exact"/>
          <w:jc w:val="center"/>
        </w:trPr>
        <w:tc>
          <w:tcPr>
            <w:tcW w:w="834" w:type="dxa"/>
            <w:vMerge w:val="restart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质量类奖项</w:t>
            </w:r>
          </w:p>
          <w:p>
            <w:pPr>
              <w:pStyle w:val="7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>
            <w:pPr>
              <w:pStyle w:val="7"/>
              <w:spacing w:line="360" w:lineRule="exact"/>
              <w:ind w:left="102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企业、项目获得国家级、省级、市级质量类奖项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5分</w:t>
            </w:r>
          </w:p>
        </w:tc>
        <w:tc>
          <w:tcPr>
            <w:tcW w:w="5383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1.获得政府质量奖国家级得2分，省级得1.5分，市级1分；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2.获得鲁班奖、国家优质工程奖、中国土木工程詹天佑、大禹、电力优质工程等国家级奖项每1项1分；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3.获得广东省优质工程奖每4项1分；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4.获得广州市优质工程奖每8项1分；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5.同一项目获多个奖项的，按最高级别统计。上限5分。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exact"/>
          <w:jc w:val="center"/>
        </w:trPr>
        <w:tc>
          <w:tcPr>
            <w:tcW w:w="834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7"/>
              <w:spacing w:before="71" w:line="360" w:lineRule="exact"/>
              <w:ind w:right="2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安全文明、绿色施工类奖项</w:t>
            </w:r>
          </w:p>
        </w:tc>
        <w:tc>
          <w:tcPr>
            <w:tcW w:w="3296" w:type="dxa"/>
            <w:vAlign w:val="center"/>
          </w:tcPr>
          <w:p>
            <w:pPr>
              <w:pStyle w:val="7"/>
              <w:spacing w:line="360" w:lineRule="exact"/>
              <w:ind w:left="102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企业、项目获得国家级、省级、市级安全文明、绿色施工类奖项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3分</w:t>
            </w:r>
          </w:p>
        </w:tc>
        <w:tc>
          <w:tcPr>
            <w:tcW w:w="538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获得国家级安全文明、绿色施工类奖每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项得1分；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获得广东省安全文明、绿色施工类奖每6项得1分；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3.获得广州市安全文明、绿色施工类奖每10项得1分；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同一项目获多个奖项的，按最高级别统计。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上限3分。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2" w:hRule="atLeast"/>
          <w:jc w:val="center"/>
        </w:trPr>
        <w:tc>
          <w:tcPr>
            <w:tcW w:w="834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379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ind w:right="152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社会责任</w:t>
            </w:r>
          </w:p>
        </w:tc>
        <w:tc>
          <w:tcPr>
            <w:tcW w:w="3296" w:type="dxa"/>
            <w:vAlign w:val="center"/>
          </w:tcPr>
          <w:p>
            <w:pPr>
              <w:spacing w:line="360" w:lineRule="auto"/>
              <w:ind w:right="-2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成立抢险队、参加险情抢险、扶贫攻坚、助力政府疫情防控等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left="104" w:right="-2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4分</w:t>
            </w:r>
          </w:p>
        </w:tc>
        <w:tc>
          <w:tcPr>
            <w:tcW w:w="5383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参与国家、省、市重点（民生）项目建设得1分；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拥有组建政府相关部门认可的市级以上三防机动抢险队每支得1分；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参加上述行动并被相关部门表彰，每项得0.5分；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上限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分。</w:t>
            </w:r>
          </w:p>
        </w:tc>
        <w:tc>
          <w:tcPr>
            <w:tcW w:w="893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200" w:lineRule="exact"/>
        <w:jc w:val="left"/>
        <w:rPr>
          <w:rFonts w:ascii="宋体" w:hAnsi="宋体" w:cs="宋体"/>
          <w:position w:val="-2"/>
          <w:sz w:val="24"/>
          <w:szCs w:val="24"/>
        </w:rPr>
      </w:pPr>
    </w:p>
    <w:p>
      <w:pPr>
        <w:spacing w:line="24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position w:val="-2"/>
          <w:sz w:val="24"/>
          <w:szCs w:val="24"/>
        </w:rPr>
        <w:t>注</w:t>
      </w:r>
      <w:r>
        <w:rPr>
          <w:rFonts w:hint="eastAsia" w:ascii="宋体" w:hAnsi="宋体" w:cs="宋体"/>
          <w:spacing w:val="2"/>
          <w:position w:val="-2"/>
          <w:sz w:val="24"/>
          <w:szCs w:val="24"/>
        </w:rPr>
        <w:t>：</w:t>
      </w:r>
      <w:r>
        <w:rPr>
          <w:rFonts w:hint="eastAsia" w:ascii="宋体" w:hAnsi="宋体" w:cs="宋体"/>
          <w:position w:val="-2"/>
          <w:sz w:val="24"/>
          <w:szCs w:val="24"/>
        </w:rPr>
        <w:t>指</w:t>
      </w:r>
      <w:r>
        <w:rPr>
          <w:rFonts w:hint="eastAsia" w:ascii="宋体" w:hAnsi="宋体" w:cs="宋体"/>
          <w:spacing w:val="2"/>
          <w:position w:val="-2"/>
          <w:sz w:val="24"/>
          <w:szCs w:val="24"/>
        </w:rPr>
        <w:t>标</w:t>
      </w:r>
      <w:r>
        <w:rPr>
          <w:rFonts w:hint="eastAsia" w:ascii="宋体" w:hAnsi="宋体" w:cs="宋体"/>
          <w:position w:val="-2"/>
          <w:sz w:val="24"/>
          <w:szCs w:val="24"/>
        </w:rPr>
        <w:t>考</w:t>
      </w:r>
      <w:r>
        <w:rPr>
          <w:rFonts w:hint="eastAsia" w:ascii="宋体" w:hAnsi="宋体" w:cs="宋体"/>
          <w:spacing w:val="2"/>
          <w:position w:val="-2"/>
          <w:sz w:val="24"/>
          <w:szCs w:val="24"/>
        </w:rPr>
        <w:t>核</w:t>
      </w:r>
      <w:r>
        <w:rPr>
          <w:rFonts w:hint="eastAsia" w:ascii="宋体" w:hAnsi="宋体" w:cs="宋体"/>
          <w:position w:val="-2"/>
          <w:sz w:val="24"/>
          <w:szCs w:val="24"/>
        </w:rPr>
        <w:t>近</w:t>
      </w:r>
      <w:r>
        <w:rPr>
          <w:rFonts w:hint="eastAsia" w:ascii="宋体" w:hAnsi="宋体" w:cs="宋体"/>
          <w:b/>
          <w:bCs/>
          <w:position w:val="-2"/>
          <w:sz w:val="24"/>
          <w:szCs w:val="24"/>
        </w:rPr>
        <w:t>3</w:t>
      </w:r>
      <w:r>
        <w:rPr>
          <w:rFonts w:hint="eastAsia" w:ascii="宋体" w:hAnsi="宋体" w:cs="宋体"/>
          <w:position w:val="-2"/>
          <w:sz w:val="24"/>
          <w:szCs w:val="24"/>
        </w:rPr>
        <w:t>年</w:t>
      </w:r>
      <w:r>
        <w:rPr>
          <w:rFonts w:hint="eastAsia" w:ascii="宋体" w:hAnsi="宋体" w:cs="宋体"/>
          <w:spacing w:val="2"/>
          <w:position w:val="-2"/>
          <w:sz w:val="24"/>
          <w:szCs w:val="24"/>
        </w:rPr>
        <w:t>的</w:t>
      </w:r>
      <w:r>
        <w:rPr>
          <w:rFonts w:hint="eastAsia" w:ascii="宋体" w:hAnsi="宋体" w:cs="宋体"/>
          <w:position w:val="-2"/>
          <w:sz w:val="24"/>
          <w:szCs w:val="24"/>
        </w:rPr>
        <w:t>数</w:t>
      </w:r>
      <w:r>
        <w:rPr>
          <w:rFonts w:hint="eastAsia" w:ascii="宋体" w:hAnsi="宋体" w:cs="宋体"/>
          <w:spacing w:val="2"/>
          <w:position w:val="-2"/>
          <w:sz w:val="24"/>
          <w:szCs w:val="24"/>
        </w:rPr>
        <w:t>据</w:t>
      </w:r>
      <w:r>
        <w:rPr>
          <w:rFonts w:hint="eastAsia" w:ascii="宋体" w:hAnsi="宋体" w:cs="宋体"/>
          <w:position w:val="-2"/>
          <w:sz w:val="24"/>
          <w:szCs w:val="24"/>
        </w:rPr>
        <w:t>和</w:t>
      </w:r>
      <w:r>
        <w:rPr>
          <w:rFonts w:hint="eastAsia" w:ascii="宋体" w:hAnsi="宋体" w:cs="宋体"/>
          <w:spacing w:val="2"/>
          <w:position w:val="-2"/>
          <w:sz w:val="24"/>
          <w:szCs w:val="24"/>
        </w:rPr>
        <w:t>信</w:t>
      </w:r>
      <w:r>
        <w:rPr>
          <w:rFonts w:hint="eastAsia" w:ascii="宋体" w:hAnsi="宋体" w:cs="宋体"/>
          <w:position w:val="-2"/>
          <w:sz w:val="24"/>
          <w:szCs w:val="24"/>
        </w:rPr>
        <w:t>息。</w:t>
      </w:r>
    </w:p>
    <w:sectPr>
      <w:footerReference r:id="rId3" w:type="default"/>
      <w:pgSz w:w="16838" w:h="11906" w:orient="landscape"/>
      <w:pgMar w:top="1800" w:right="930" w:bottom="1800" w:left="9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66295A-D14F-4739-BF67-4BB92F06FC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736163D8-E6FB-429C-B0C5-B093C71AA1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7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490C27"/>
    <w:multiLevelType w:val="singleLevel"/>
    <w:tmpl w:val="ED490C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9F903E7"/>
    <w:multiLevelType w:val="singleLevel"/>
    <w:tmpl w:val="39F903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yODc1NmM0MDdiNDVlMzlkNjE3NmQ3Y2VkNmQzYTIifQ=="/>
  </w:docVars>
  <w:rsids>
    <w:rsidRoot w:val="06A1571B"/>
    <w:rsid w:val="000343E6"/>
    <w:rsid w:val="00050754"/>
    <w:rsid w:val="000E3FEB"/>
    <w:rsid w:val="0017037C"/>
    <w:rsid w:val="002111D1"/>
    <w:rsid w:val="002566ED"/>
    <w:rsid w:val="002A59A6"/>
    <w:rsid w:val="0033237D"/>
    <w:rsid w:val="00364439"/>
    <w:rsid w:val="003C716A"/>
    <w:rsid w:val="0046090F"/>
    <w:rsid w:val="00475E7E"/>
    <w:rsid w:val="00531BF9"/>
    <w:rsid w:val="005B08B7"/>
    <w:rsid w:val="005F7C35"/>
    <w:rsid w:val="006127FA"/>
    <w:rsid w:val="006147E9"/>
    <w:rsid w:val="00631BC5"/>
    <w:rsid w:val="00644D62"/>
    <w:rsid w:val="00695DF3"/>
    <w:rsid w:val="006B523D"/>
    <w:rsid w:val="006E6A51"/>
    <w:rsid w:val="00833342"/>
    <w:rsid w:val="008F3C0F"/>
    <w:rsid w:val="00930024"/>
    <w:rsid w:val="00956EBC"/>
    <w:rsid w:val="009B61AF"/>
    <w:rsid w:val="00AE4925"/>
    <w:rsid w:val="00B137D8"/>
    <w:rsid w:val="00B37D85"/>
    <w:rsid w:val="00B9586E"/>
    <w:rsid w:val="00C943A8"/>
    <w:rsid w:val="00CC2B02"/>
    <w:rsid w:val="00CD4F43"/>
    <w:rsid w:val="00D90841"/>
    <w:rsid w:val="00DC633C"/>
    <w:rsid w:val="00E371FE"/>
    <w:rsid w:val="00E86766"/>
    <w:rsid w:val="00EA0748"/>
    <w:rsid w:val="00EE55FB"/>
    <w:rsid w:val="00FB7590"/>
    <w:rsid w:val="00FE65EA"/>
    <w:rsid w:val="01E4052A"/>
    <w:rsid w:val="025B4B72"/>
    <w:rsid w:val="02AD34F4"/>
    <w:rsid w:val="02DB65A7"/>
    <w:rsid w:val="03277E6C"/>
    <w:rsid w:val="047343F5"/>
    <w:rsid w:val="054A4470"/>
    <w:rsid w:val="067D77AC"/>
    <w:rsid w:val="06A1571B"/>
    <w:rsid w:val="06F107AD"/>
    <w:rsid w:val="07D16002"/>
    <w:rsid w:val="096351F6"/>
    <w:rsid w:val="0B3E74B3"/>
    <w:rsid w:val="0B7F2855"/>
    <w:rsid w:val="0BD624E2"/>
    <w:rsid w:val="0C724591"/>
    <w:rsid w:val="0E5352AC"/>
    <w:rsid w:val="0FC66A6D"/>
    <w:rsid w:val="10856943"/>
    <w:rsid w:val="10BE3029"/>
    <w:rsid w:val="11011608"/>
    <w:rsid w:val="112D27A2"/>
    <w:rsid w:val="123A0C48"/>
    <w:rsid w:val="126E58D4"/>
    <w:rsid w:val="12E5288F"/>
    <w:rsid w:val="14CC02CE"/>
    <w:rsid w:val="15347CE9"/>
    <w:rsid w:val="15496191"/>
    <w:rsid w:val="15B9135E"/>
    <w:rsid w:val="15C164C0"/>
    <w:rsid w:val="1627503F"/>
    <w:rsid w:val="169D727C"/>
    <w:rsid w:val="16A94EF4"/>
    <w:rsid w:val="16EF58AD"/>
    <w:rsid w:val="182B5A60"/>
    <w:rsid w:val="183D31BF"/>
    <w:rsid w:val="19CC3F9A"/>
    <w:rsid w:val="19D53A99"/>
    <w:rsid w:val="1B195AED"/>
    <w:rsid w:val="1B223E2E"/>
    <w:rsid w:val="1B3501FE"/>
    <w:rsid w:val="1DA6457A"/>
    <w:rsid w:val="1DB34347"/>
    <w:rsid w:val="1DBB404D"/>
    <w:rsid w:val="1E817A1C"/>
    <w:rsid w:val="1ED168E7"/>
    <w:rsid w:val="1FA11DB4"/>
    <w:rsid w:val="2075662B"/>
    <w:rsid w:val="211A20DA"/>
    <w:rsid w:val="213B4E27"/>
    <w:rsid w:val="2182189F"/>
    <w:rsid w:val="21CB1EFE"/>
    <w:rsid w:val="21D7362A"/>
    <w:rsid w:val="22507B57"/>
    <w:rsid w:val="24A9572A"/>
    <w:rsid w:val="260A23B5"/>
    <w:rsid w:val="27BC6441"/>
    <w:rsid w:val="289E0FB2"/>
    <w:rsid w:val="28F34F96"/>
    <w:rsid w:val="2A6677EC"/>
    <w:rsid w:val="2DAB6857"/>
    <w:rsid w:val="2EF57DD0"/>
    <w:rsid w:val="2F1B2212"/>
    <w:rsid w:val="2FE002E1"/>
    <w:rsid w:val="30083A5D"/>
    <w:rsid w:val="300E0548"/>
    <w:rsid w:val="301E705B"/>
    <w:rsid w:val="31FF61E9"/>
    <w:rsid w:val="32686CD9"/>
    <w:rsid w:val="329E48A2"/>
    <w:rsid w:val="34D8334B"/>
    <w:rsid w:val="35871F43"/>
    <w:rsid w:val="35C20106"/>
    <w:rsid w:val="35D466DB"/>
    <w:rsid w:val="3630291D"/>
    <w:rsid w:val="36574760"/>
    <w:rsid w:val="36BA1E1E"/>
    <w:rsid w:val="36D54F68"/>
    <w:rsid w:val="373C5FC4"/>
    <w:rsid w:val="37667C65"/>
    <w:rsid w:val="3809330B"/>
    <w:rsid w:val="38C70968"/>
    <w:rsid w:val="398D5409"/>
    <w:rsid w:val="399161E1"/>
    <w:rsid w:val="3B7A6022"/>
    <w:rsid w:val="3CBE0C38"/>
    <w:rsid w:val="3F954ABE"/>
    <w:rsid w:val="3FE22B87"/>
    <w:rsid w:val="405C6B25"/>
    <w:rsid w:val="40977C03"/>
    <w:rsid w:val="40E7716B"/>
    <w:rsid w:val="41203279"/>
    <w:rsid w:val="418E271A"/>
    <w:rsid w:val="41C225B8"/>
    <w:rsid w:val="42B04272"/>
    <w:rsid w:val="43656A9D"/>
    <w:rsid w:val="45192426"/>
    <w:rsid w:val="4775500D"/>
    <w:rsid w:val="47C72111"/>
    <w:rsid w:val="47E14B18"/>
    <w:rsid w:val="488176C2"/>
    <w:rsid w:val="492C439A"/>
    <w:rsid w:val="4A23362D"/>
    <w:rsid w:val="4AD06B77"/>
    <w:rsid w:val="4FA254D0"/>
    <w:rsid w:val="51A76C82"/>
    <w:rsid w:val="524B7790"/>
    <w:rsid w:val="53126132"/>
    <w:rsid w:val="53155F5F"/>
    <w:rsid w:val="53794425"/>
    <w:rsid w:val="55EB09B2"/>
    <w:rsid w:val="58691B2F"/>
    <w:rsid w:val="58E05B9D"/>
    <w:rsid w:val="5ADD1E8F"/>
    <w:rsid w:val="5B22711E"/>
    <w:rsid w:val="5B486DCE"/>
    <w:rsid w:val="5B720771"/>
    <w:rsid w:val="5EA13429"/>
    <w:rsid w:val="5FD4083B"/>
    <w:rsid w:val="60C6278F"/>
    <w:rsid w:val="61DB52FC"/>
    <w:rsid w:val="61F55C43"/>
    <w:rsid w:val="626D4608"/>
    <w:rsid w:val="6303236A"/>
    <w:rsid w:val="63D35447"/>
    <w:rsid w:val="64A33CFB"/>
    <w:rsid w:val="64DC6B8C"/>
    <w:rsid w:val="655621F8"/>
    <w:rsid w:val="669B59E7"/>
    <w:rsid w:val="670F0820"/>
    <w:rsid w:val="67E07CA1"/>
    <w:rsid w:val="68AE658D"/>
    <w:rsid w:val="68CB7E7A"/>
    <w:rsid w:val="68EC252C"/>
    <w:rsid w:val="6A3E2960"/>
    <w:rsid w:val="6AE11FF1"/>
    <w:rsid w:val="6AFF027F"/>
    <w:rsid w:val="6BF879A1"/>
    <w:rsid w:val="6CDF6B88"/>
    <w:rsid w:val="6DE92022"/>
    <w:rsid w:val="6E5A5127"/>
    <w:rsid w:val="6F134DCC"/>
    <w:rsid w:val="71663288"/>
    <w:rsid w:val="71CA611F"/>
    <w:rsid w:val="727B05E0"/>
    <w:rsid w:val="72A365F1"/>
    <w:rsid w:val="737B753A"/>
    <w:rsid w:val="739D73C8"/>
    <w:rsid w:val="753A7804"/>
    <w:rsid w:val="760E7FBB"/>
    <w:rsid w:val="769E7DAB"/>
    <w:rsid w:val="7978561E"/>
    <w:rsid w:val="79F42021"/>
    <w:rsid w:val="7A5B5E5E"/>
    <w:rsid w:val="7C8C0083"/>
    <w:rsid w:val="7D7F0374"/>
    <w:rsid w:val="7EA034CE"/>
    <w:rsid w:val="7F1315E5"/>
    <w:rsid w:val="7F275910"/>
    <w:rsid w:val="7FFA7B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le Paragraph"/>
    <w:basedOn w:val="1"/>
    <w:autoRedefine/>
    <w:qFormat/>
    <w:uiPriority w:val="1"/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D05311-EAF1-46C9-BB6A-7C339EE1C2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广东水电二局股份有限公司</Company>
  <Pages>9</Pages>
  <Words>2123</Words>
  <Characters>2238</Characters>
  <Lines>18</Lines>
  <Paragraphs>5</Paragraphs>
  <TotalTime>6</TotalTime>
  <ScaleCrop>false</ScaleCrop>
  <LinksUpToDate>false</LinksUpToDate>
  <CharactersWithSpaces>2264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2022-05-24T03:23:00Z</dcterms:created>
  <dc:creator>123</dc:creator>
  <cp:lastModifiedBy>Y。</cp:lastModifiedBy>
  <cp:lastPrinted>2023-12-28T08:14:08Z</cp:lastPrinted>
  <dcterms:modified xsi:type="dcterms:W3CDTF">2023-12-28T08:14:12Z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1598625D455845A3B5A6CAF887878E6B</vt:lpwstr>
  </property>
</Properties>
</file>