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F94EE">
      <w:pPr>
        <w:adjustRightInd w:val="0"/>
        <w:snapToGrid w:val="0"/>
        <w:spacing w:line="720" w:lineRule="exact"/>
        <w:ind w:left="0" w:leftChars="0" w:firstLine="0" w:firstLineChars="0"/>
        <w:jc w:val="left"/>
        <w:rPr>
          <w:rFonts w:hint="eastAsia" w:ascii="黑体" w:hAnsi="黑体" w:eastAsia="黑体" w:cs="宋体"/>
          <w:sz w:val="32"/>
          <w:szCs w:val="32"/>
          <w:lang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2</w:t>
      </w:r>
    </w:p>
    <w:p w14:paraId="4FF78E06">
      <w:pPr>
        <w:spacing w:line="560" w:lineRule="exact"/>
        <w:jc w:val="center"/>
        <w:rPr>
          <w:rFonts w:hint="eastAsia" w:ascii="方正公文小标宋" w:hAnsi="方正公文小标宋" w:eastAsia="方正公文小标宋" w:cs="方正公文小标宋"/>
          <w:sz w:val="44"/>
          <w:szCs w:val="36"/>
        </w:rPr>
      </w:pPr>
    </w:p>
    <w:p w14:paraId="3972D2A3">
      <w:pPr>
        <w:spacing w:line="560" w:lineRule="exact"/>
        <w:jc w:val="center"/>
        <w:rPr>
          <w:rFonts w:hint="eastAsia" w:ascii="方正公文小标宋" w:hAnsi="方正公文小标宋" w:eastAsia="方正公文小标宋" w:cs="方正公文小标宋"/>
          <w:sz w:val="44"/>
          <w:szCs w:val="36"/>
        </w:rPr>
      </w:pPr>
    </w:p>
    <w:p w14:paraId="625C97D0">
      <w:pPr>
        <w:spacing w:line="560" w:lineRule="exact"/>
        <w:jc w:val="center"/>
        <w:rPr>
          <w:rFonts w:hint="eastAsia" w:ascii="方正公文小标宋" w:hAnsi="方正公文小标宋" w:eastAsia="方正公文小标宋" w:cs="方正公文小标宋"/>
          <w:sz w:val="44"/>
          <w:szCs w:val="36"/>
        </w:rPr>
      </w:pPr>
    </w:p>
    <w:p w14:paraId="59AD8D88">
      <w:pPr>
        <w:spacing w:line="560" w:lineRule="exact"/>
        <w:jc w:val="center"/>
        <w:rPr>
          <w:rFonts w:hint="eastAsia" w:ascii="方正公文小标宋" w:hAnsi="方正公文小标宋" w:eastAsia="方正公文小标宋" w:cs="方正公文小标宋"/>
          <w:sz w:val="44"/>
          <w:szCs w:val="36"/>
        </w:rPr>
      </w:pPr>
    </w:p>
    <w:p w14:paraId="155F04F3">
      <w:pPr>
        <w:bidi w:val="0"/>
        <w:ind w:left="0" w:leftChars="0" w:firstLine="0" w:firstLineChars="0"/>
        <w:jc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广州市建筑业联合会团体标准</w:t>
      </w:r>
    </w:p>
    <w:p w14:paraId="46E82A5B">
      <w:pPr>
        <w:bidi w:val="0"/>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广州市工程建设质量管理小组活动准则</w:t>
      </w:r>
      <w:r>
        <w:rPr>
          <w:rFonts w:hint="eastAsia" w:ascii="方正小标宋简体" w:hAnsi="方正小标宋简体" w:eastAsia="方正小标宋简体" w:cs="方正小标宋简体"/>
          <w:b w:val="0"/>
          <w:bCs w:val="0"/>
          <w:sz w:val="44"/>
          <w:szCs w:val="44"/>
        </w:rPr>
        <w:t>》</w:t>
      </w:r>
    </w:p>
    <w:p w14:paraId="10251FA1">
      <w:pPr>
        <w:spacing w:line="560" w:lineRule="exact"/>
        <w:jc w:val="center"/>
        <w:rPr>
          <w:rFonts w:hint="eastAsia" w:ascii="方正小标宋简体" w:hAnsi="方正小标宋简体" w:eastAsia="方正小标宋简体" w:cs="方正小标宋简体"/>
          <w:b w:val="0"/>
          <w:bCs w:val="0"/>
          <w:sz w:val="44"/>
          <w:szCs w:val="44"/>
        </w:rPr>
      </w:pPr>
    </w:p>
    <w:p w14:paraId="75507CB0">
      <w:pPr>
        <w:spacing w:line="560" w:lineRule="exact"/>
        <w:jc w:val="center"/>
        <w:rPr>
          <w:rFonts w:hint="eastAsia" w:ascii="方正小标宋简体" w:hAnsi="方正小标宋简体" w:eastAsia="方正小标宋简体" w:cs="方正小标宋简体"/>
          <w:b w:val="0"/>
          <w:bCs w:val="0"/>
          <w:sz w:val="44"/>
          <w:szCs w:val="44"/>
        </w:rPr>
      </w:pPr>
    </w:p>
    <w:p w14:paraId="16EEB688">
      <w:pPr>
        <w:spacing w:line="560" w:lineRule="exact"/>
        <w:jc w:val="center"/>
        <w:rPr>
          <w:rFonts w:hint="eastAsia" w:ascii="方正小标宋简体" w:hAnsi="方正小标宋简体" w:eastAsia="方正小标宋简体" w:cs="方正小标宋简体"/>
          <w:b w:val="0"/>
          <w:bCs w:val="0"/>
          <w:sz w:val="44"/>
          <w:szCs w:val="44"/>
        </w:rPr>
      </w:pPr>
    </w:p>
    <w:p w14:paraId="42D7CAB8">
      <w:pPr>
        <w:bidi w:val="0"/>
        <w:ind w:left="0" w:leftChars="0" w:firstLine="0" w:firstLineChars="0"/>
        <w:jc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团体标准编制说明</w:t>
      </w:r>
    </w:p>
    <w:p w14:paraId="367CB107">
      <w:pPr>
        <w:spacing w:line="560" w:lineRule="exact"/>
        <w:jc w:val="center"/>
        <w:rPr>
          <w:rFonts w:hint="eastAsia" w:ascii="方正公文小标宋" w:hAnsi="方正公文小标宋" w:eastAsia="方正公文小标宋" w:cs="方正公文小标宋"/>
          <w:sz w:val="44"/>
          <w:szCs w:val="36"/>
        </w:rPr>
      </w:pPr>
    </w:p>
    <w:p w14:paraId="422B68B2">
      <w:pPr>
        <w:spacing w:line="560" w:lineRule="exact"/>
        <w:jc w:val="center"/>
        <w:rPr>
          <w:rFonts w:hint="eastAsia" w:ascii="方正公文小标宋" w:hAnsi="方正公文小标宋" w:eastAsia="方正公文小标宋" w:cs="方正公文小标宋"/>
          <w:sz w:val="44"/>
          <w:szCs w:val="36"/>
        </w:rPr>
      </w:pPr>
    </w:p>
    <w:p w14:paraId="2781A665">
      <w:pPr>
        <w:spacing w:line="560" w:lineRule="exact"/>
        <w:jc w:val="center"/>
        <w:rPr>
          <w:rFonts w:hint="eastAsia" w:ascii="方正公文小标宋" w:hAnsi="方正公文小标宋" w:eastAsia="方正公文小标宋" w:cs="方正公文小标宋"/>
          <w:sz w:val="44"/>
          <w:szCs w:val="36"/>
        </w:rPr>
      </w:pPr>
    </w:p>
    <w:p w14:paraId="1F9F7A00">
      <w:pPr>
        <w:spacing w:line="560" w:lineRule="exact"/>
        <w:jc w:val="center"/>
        <w:rPr>
          <w:rFonts w:hint="eastAsia" w:ascii="方正公文小标宋" w:hAnsi="方正公文小标宋" w:eastAsia="方正公文小标宋" w:cs="方正公文小标宋"/>
          <w:sz w:val="44"/>
          <w:szCs w:val="36"/>
        </w:rPr>
      </w:pPr>
    </w:p>
    <w:p w14:paraId="758776B0">
      <w:pPr>
        <w:spacing w:line="560" w:lineRule="exact"/>
        <w:jc w:val="center"/>
        <w:rPr>
          <w:rFonts w:hint="eastAsia" w:ascii="方正公文小标宋" w:hAnsi="方正公文小标宋" w:eastAsia="方正公文小标宋" w:cs="方正公文小标宋"/>
          <w:sz w:val="44"/>
          <w:szCs w:val="36"/>
        </w:rPr>
      </w:pPr>
    </w:p>
    <w:p w14:paraId="3FDEE00E">
      <w:pPr>
        <w:spacing w:line="560" w:lineRule="exact"/>
        <w:ind w:left="0" w:leftChars="0" w:firstLine="0" w:firstLineChars="0"/>
        <w:jc w:val="both"/>
        <w:rPr>
          <w:rFonts w:hint="eastAsia" w:ascii="方正公文小标宋" w:hAnsi="方正公文小标宋" w:eastAsia="方正公文小标宋" w:cs="方正公文小标宋"/>
          <w:sz w:val="44"/>
          <w:szCs w:val="36"/>
        </w:rPr>
      </w:pPr>
    </w:p>
    <w:p w14:paraId="526AA069">
      <w:pPr>
        <w:spacing w:line="560" w:lineRule="exact"/>
        <w:jc w:val="center"/>
        <w:rPr>
          <w:rFonts w:hint="eastAsia" w:ascii="Times New Roman" w:hAnsi="Times New Roman" w:eastAsia="方正公文小标宋" w:cs="方正公文小标宋"/>
          <w:color w:val="auto"/>
          <w:sz w:val="44"/>
          <w:szCs w:val="36"/>
          <w:highlight w:val="none"/>
          <w:u w:val="none"/>
        </w:rPr>
      </w:pPr>
    </w:p>
    <w:p w14:paraId="5D9DFDE6">
      <w:pPr>
        <w:spacing w:line="560" w:lineRule="exact"/>
        <w:ind w:left="0" w:leftChars="0" w:firstLine="0" w:firstLineChars="0"/>
        <w:jc w:val="center"/>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rPr>
        <w:t>20</w:t>
      </w:r>
      <w:r>
        <w:rPr>
          <w:rFonts w:hint="eastAsia" w:ascii="仿宋_GB2312" w:hAnsi="仿宋_GB2312" w:eastAsia="仿宋_GB2312" w:cs="仿宋_GB2312"/>
          <w:color w:val="auto"/>
          <w:sz w:val="32"/>
          <w:szCs w:val="24"/>
          <w:highlight w:val="none"/>
          <w:u w:val="none"/>
          <w:lang w:val="en-US" w:eastAsia="zh-CN"/>
        </w:rPr>
        <w:t>25</w:t>
      </w:r>
      <w:r>
        <w:rPr>
          <w:rFonts w:hint="eastAsia" w:ascii="仿宋_GB2312" w:hAnsi="仿宋_GB2312" w:eastAsia="仿宋_GB2312" w:cs="仿宋_GB2312"/>
          <w:color w:val="auto"/>
          <w:sz w:val="32"/>
          <w:szCs w:val="24"/>
          <w:highlight w:val="none"/>
          <w:u w:val="none"/>
        </w:rPr>
        <w:t>年</w:t>
      </w:r>
      <w:r>
        <w:rPr>
          <w:rFonts w:hint="eastAsia" w:ascii="仿宋_GB2312" w:hAnsi="仿宋_GB2312" w:eastAsia="仿宋_GB2312" w:cs="仿宋_GB2312"/>
          <w:color w:val="auto"/>
          <w:sz w:val="32"/>
          <w:szCs w:val="24"/>
          <w:highlight w:val="none"/>
          <w:u w:val="none"/>
          <w:lang w:val="en-US" w:eastAsia="zh-CN"/>
        </w:rPr>
        <w:t>6</w:t>
      </w:r>
      <w:r>
        <w:rPr>
          <w:rFonts w:hint="eastAsia" w:ascii="仿宋_GB2312" w:hAnsi="仿宋_GB2312" w:eastAsia="仿宋_GB2312" w:cs="仿宋_GB2312"/>
          <w:color w:val="auto"/>
          <w:sz w:val="32"/>
          <w:szCs w:val="24"/>
          <w:highlight w:val="none"/>
          <w:u w:val="none"/>
        </w:rPr>
        <w:t>月</w:t>
      </w:r>
    </w:p>
    <w:p w14:paraId="5A5D2985">
      <w:pPr>
        <w:spacing w:line="560" w:lineRule="exact"/>
        <w:ind w:left="0" w:leftChars="0" w:firstLine="0" w:firstLineChars="0"/>
        <w:jc w:val="center"/>
        <w:rPr>
          <w:rFonts w:hint="eastAsia" w:ascii="Times New Roman" w:hAnsi="Times New Roman" w:eastAsia="仿宋" w:cs="仿宋"/>
          <w:color w:val="auto"/>
          <w:sz w:val="32"/>
          <w:szCs w:val="24"/>
          <w:highlight w:val="none"/>
          <w:u w:val="none"/>
        </w:rPr>
      </w:pPr>
      <w:r>
        <w:rPr>
          <w:rFonts w:hint="eastAsia" w:ascii="仿宋_GB2312" w:hAnsi="仿宋_GB2312" w:eastAsia="仿宋_GB2312" w:cs="仿宋_GB2312"/>
          <w:color w:val="auto"/>
          <w:sz w:val="32"/>
          <w:szCs w:val="24"/>
          <w:highlight w:val="none"/>
          <w:u w:val="none"/>
        </w:rPr>
        <w:t>团体标准起草工作组</w:t>
      </w:r>
    </w:p>
    <w:p w14:paraId="6DC0EBBA">
      <w:pPr>
        <w:rPr>
          <w:rFonts w:hint="eastAsia"/>
          <w:color w:val="auto"/>
          <w:highlight w:val="none"/>
          <w:u w:val="none"/>
        </w:rPr>
      </w:pPr>
      <w:r>
        <w:rPr>
          <w:rFonts w:hint="eastAsia" w:ascii="仿宋" w:hAnsi="仿宋" w:eastAsia="仿宋" w:cs="仿宋"/>
          <w:color w:val="auto"/>
          <w:sz w:val="32"/>
          <w:szCs w:val="24"/>
          <w:highlight w:val="none"/>
          <w:u w:val="none"/>
        </w:rPr>
        <w:br w:type="page"/>
      </w:r>
    </w:p>
    <w:p w14:paraId="71D854D9">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color w:val="auto"/>
          <w:sz w:val="32"/>
          <w:highlight w:val="none"/>
          <w:u w:val="none"/>
        </w:rPr>
      </w:pPr>
      <w:bookmarkStart w:id="0" w:name="_Toc22603"/>
      <w:r>
        <w:rPr>
          <w:rFonts w:hint="eastAsia" w:ascii="Times New Roman" w:hAnsi="Times New Roman"/>
          <w:color w:val="auto"/>
          <w:sz w:val="32"/>
          <w:highlight w:val="none"/>
          <w:u w:val="none"/>
        </w:rPr>
        <w:t>一、制定标准目的</w:t>
      </w:r>
      <w:bookmarkEnd w:id="0"/>
    </w:p>
    <w:p w14:paraId="1E8900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本项目旨在制定一个科学、规范且高效的团体标准，符合中国质量协会发布的《质量管理小组活动准则》（T/CAQ 10201-2024）要求，并且适应广州市工程建设行业特点的质量管理小组（亦称QC小组）活动开展和推进的团体标准，帮助各企业建立科学系统的QC小组活动推进机制，更加有效地推进QC小组活动，不断提升覆盖面和活动成效，充分发挥QC小组活动在培养高素质质量技能人才、工匠方面的作用，为加快培育新质生产力、促进广州市工程建设行业高质量发展奠定坚实基础。</w:t>
      </w:r>
    </w:p>
    <w:p w14:paraId="1207670B">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color w:val="auto"/>
          <w:sz w:val="32"/>
          <w:highlight w:val="none"/>
          <w:u w:val="none"/>
        </w:rPr>
      </w:pPr>
      <w:bookmarkStart w:id="1" w:name="_Toc28623"/>
      <w:r>
        <w:rPr>
          <w:rFonts w:hint="eastAsia" w:ascii="Times New Roman" w:hAnsi="Times New Roman"/>
          <w:color w:val="auto"/>
          <w:sz w:val="32"/>
          <w:highlight w:val="none"/>
          <w:u w:val="none"/>
        </w:rPr>
        <w:t>二、制定标准意义</w:t>
      </w:r>
      <w:bookmarkEnd w:id="1"/>
    </w:p>
    <w:p w14:paraId="30C04C3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能够引领企业深化质量观念，打造新型劳动者队伍，提升企业绩效，并显著增强市场竞争力，进一步提高广州市工程建设行业的质量水平，加速新质生产力的蓬勃发展，以此驱动整个行业迈向更加稳健、可持续的成长轨道。</w:t>
      </w:r>
    </w:p>
    <w:p w14:paraId="598C6A95">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color w:val="auto"/>
          <w:sz w:val="32"/>
          <w:highlight w:val="none"/>
          <w:u w:val="none"/>
        </w:rPr>
      </w:pPr>
      <w:bookmarkStart w:id="2" w:name="_Toc10200"/>
      <w:r>
        <w:rPr>
          <w:rFonts w:hint="eastAsia" w:ascii="Times New Roman" w:hAnsi="Times New Roman"/>
          <w:color w:val="auto"/>
          <w:sz w:val="32"/>
          <w:highlight w:val="none"/>
          <w:u w:val="none"/>
        </w:rPr>
        <w:t>三、制定标准必要性</w:t>
      </w:r>
      <w:bookmarkEnd w:id="2"/>
    </w:p>
    <w:p w14:paraId="11EF9C7B">
      <w:pPr>
        <w:pStyle w:val="10"/>
        <w:keepNext w:val="0"/>
        <w:keepLines w:val="0"/>
        <w:pageBreakBefore w:val="0"/>
        <w:widowControl w:val="0"/>
        <w:suppressLineNumbers w:val="0"/>
        <w:kinsoku w:val="0"/>
        <w:wordWrap/>
        <w:overflowPunct w:val="0"/>
        <w:topLinePunct w:val="0"/>
        <w:autoSpaceDE w:val="0"/>
        <w:autoSpaceDN w:val="0"/>
        <w:bidi w:val="0"/>
        <w:adjustRightInd w:val="0"/>
        <w:snapToGrid/>
        <w:spacing w:line="576" w:lineRule="exact"/>
        <w:ind w:left="6"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14:ligatures w14:val="none"/>
        </w:rPr>
      </w:pPr>
      <w:r>
        <w:rPr>
          <w:rFonts w:hint="eastAsia" w:ascii="仿宋_GB2312" w:hAnsi="仿宋_GB2312" w:eastAsia="仿宋_GB2312" w:cs="仿宋_GB2312"/>
          <w:color w:val="auto"/>
          <w:kern w:val="2"/>
          <w:sz w:val="32"/>
          <w:szCs w:val="24"/>
          <w:highlight w:val="none"/>
          <w:u w:val="none"/>
          <w:lang w:val="en-US" w:eastAsia="zh-CN" w:bidi="ar-SA"/>
        </w:rPr>
        <w:t>该标准的制定旨在更有效地指导广州市工程建设行业企业及本地区的工程建设项目在开展QC小组活动时遵循科学的活动程序，紧密结合本地区工程建设行业的活动特点和当前QC小组活动的新趋势，合理应用质量管理理论和统计方法，以高效开展质量管理小组活动。此举不仅有助于促进企业员工</w:t>
      </w:r>
      <w:bookmarkStart w:id="13" w:name="_GoBack"/>
      <w:r>
        <w:rPr>
          <w:rFonts w:hint="eastAsia" w:ascii="仿宋_GB2312" w:hAnsi="仿宋_GB2312" w:eastAsia="仿宋_GB2312" w:cs="仿宋_GB2312"/>
          <w:color w:val="auto"/>
          <w:kern w:val="2"/>
          <w:sz w:val="32"/>
          <w:szCs w:val="24"/>
          <w:highlight w:val="none"/>
          <w:u w:val="none"/>
          <w:lang w:val="en-US" w:eastAsia="zh-CN" w:bidi="ar-SA"/>
        </w:rPr>
        <w:t>提高质量意识</w:t>
      </w:r>
      <w:bookmarkEnd w:id="13"/>
      <w:r>
        <w:rPr>
          <w:rFonts w:hint="eastAsia" w:ascii="仿宋_GB2312" w:hAnsi="仿宋_GB2312" w:eastAsia="仿宋_GB2312" w:cs="仿宋_GB2312"/>
          <w:color w:val="auto"/>
          <w:kern w:val="2"/>
          <w:sz w:val="32"/>
          <w:szCs w:val="24"/>
          <w:highlight w:val="none"/>
          <w:u w:val="none"/>
          <w:lang w:val="en-US" w:eastAsia="zh-CN" w:bidi="ar-SA"/>
        </w:rPr>
        <w:t>，激发员工的积极性和创造性，改进质量、降低消耗、改善环境、满足顾客需求并助力提升组织整体绩效，强化企业的质量品牌形象；同时，也为规范广州市工程建设行业质量管理小组活动的程序与推进机制奠定了坚实的基础，逐步健全广州市工程建设行业质量管理小组活动管理体系，提高活动水平，助力广州市工程建设行业高质量发展。</w:t>
      </w:r>
    </w:p>
    <w:p w14:paraId="3C24F1BD">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color w:val="auto"/>
          <w:sz w:val="32"/>
          <w:highlight w:val="none"/>
          <w:u w:val="none"/>
        </w:rPr>
      </w:pPr>
      <w:bookmarkStart w:id="3" w:name="_Toc9457"/>
      <w:r>
        <w:rPr>
          <w:rFonts w:hint="eastAsia" w:ascii="Times New Roman" w:hAnsi="Times New Roman"/>
          <w:color w:val="auto"/>
          <w:sz w:val="32"/>
          <w:highlight w:val="none"/>
          <w:u w:val="none"/>
        </w:rPr>
        <w:t>四、编制过程</w:t>
      </w:r>
      <w:bookmarkEnd w:id="3"/>
    </w:p>
    <w:p w14:paraId="5167C4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（一）立项阶段</w:t>
      </w:r>
    </w:p>
    <w:p w14:paraId="38EE031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2024年10月30日，广州市建筑业联合会正式批准《广州市工程建设质量管理小组活动准则》立项。</w:t>
      </w:r>
    </w:p>
    <w:p w14:paraId="266F1B0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（二）起草阶段</w:t>
      </w:r>
    </w:p>
    <w:p w14:paraId="7C5B34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1.2024年10月15日，在广州市建筑业联合会25楼会议室召开会议，成立《广州市工程建设质量管理小组活动准则》编制小组。会议确定了活动准则编写大纲、编制计划和编写分工方案，组织各参编单位按计划和分工推进各章节内容编写。</w:t>
      </w:r>
    </w:p>
    <w:p w14:paraId="3816C9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2.2024年10月16至2025年5月20日，完成了《广州市工程建设质量管理小组活动准则》初稿。编制过程中，编制组充分参考了中国质量协会、中国施工企业管理协会相关活动准则和培训书籍、材料，编写形成第一稿。为了保证团体标准符合最新版活动准则的总体框架要求，编制组在2025年3月获取中国质量协会</w:t>
      </w:r>
      <w:r>
        <w:rPr>
          <w:rFonts w:hint="eastAsia" w:ascii="仿宋_GB2312" w:hAnsi="仿宋_GB2312" w:eastAsia="仿宋_GB2312" w:cs="仿宋_GB2312"/>
          <w:b w:val="0"/>
          <w:bCs w:val="0"/>
          <w:i w:val="0"/>
          <w:iCs w:val="0"/>
          <w:color w:val="auto"/>
          <w:kern w:val="2"/>
          <w:sz w:val="32"/>
          <w:szCs w:val="24"/>
          <w:highlight w:val="none"/>
          <w:u w:val="none"/>
          <w:vertAlign w:val="baseline"/>
          <w:lang w:val="en-US" w:eastAsia="zh-CN" w:bidi="ar-SA"/>
        </w:rPr>
        <w:t>《质量管理小组活动准则</w:t>
      </w: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（T/CAQ 10201-2024）</w:t>
      </w:r>
      <w:r>
        <w:rPr>
          <w:rFonts w:hint="eastAsia" w:ascii="仿宋_GB2312" w:hAnsi="仿宋_GB2312" w:eastAsia="仿宋_GB2312" w:cs="仿宋_GB2312"/>
          <w:b w:val="0"/>
          <w:bCs w:val="0"/>
          <w:i w:val="0"/>
          <w:iCs w:val="0"/>
          <w:color w:val="auto"/>
          <w:kern w:val="2"/>
          <w:sz w:val="32"/>
          <w:szCs w:val="24"/>
          <w:highlight w:val="none"/>
          <w:u w:val="none"/>
          <w:vertAlign w:val="baseline"/>
          <w:lang w:val="en-US" w:eastAsia="zh-CN" w:bidi="ar-SA"/>
        </w:rPr>
        <w:t>》文本后，</w:t>
      </w:r>
      <w:r>
        <w:rPr>
          <w:rFonts w:hint="eastAsia" w:ascii="仿宋_GB2312" w:hAnsi="仿宋_GB2312" w:eastAsia="仿宋_GB2312" w:cs="仿宋_GB2312"/>
          <w:color w:val="auto"/>
          <w:sz w:val="32"/>
          <w:highlight w:val="none"/>
          <w:u w:val="none"/>
          <w:lang w:val="en-US" w:eastAsia="zh-CN"/>
        </w:rPr>
        <w:t>相关人员组织了2024版活动准则的培训学习后，对第一稿进行全面校对和修改，形成《广州市工程建设质量管理小组活动准则》初稿。</w:t>
      </w:r>
    </w:p>
    <w:p w14:paraId="1C96A84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color w:val="auto"/>
          <w:sz w:val="32"/>
          <w:highlight w:val="none"/>
          <w:u w:val="none"/>
          <w:lang w:val="en-US" w:eastAsia="zh-CN"/>
        </w:rPr>
        <w:t>3.2025年6月18日，在广州市建筑业联合会25楼会议室召开会议。</w:t>
      </w:r>
      <w:bookmarkStart w:id="4" w:name="_Toc6968"/>
      <w:r>
        <w:rPr>
          <w:rFonts w:hint="eastAsia" w:ascii="仿宋_GB2312" w:hAnsi="仿宋_GB2312" w:eastAsia="仿宋_GB2312" w:cs="仿宋_GB2312"/>
          <w:color w:val="auto"/>
          <w:sz w:val="32"/>
          <w:highlight w:val="none"/>
          <w:u w:val="none"/>
          <w:lang w:val="en-US" w:eastAsia="zh-CN"/>
        </w:rPr>
        <w:t>编制组及与会专家就《广州市工程建设质量管理小组活动准则》初稿</w:t>
      </w:r>
      <w:r>
        <w:rPr>
          <w:rFonts w:hint="eastAsia" w:ascii="仿宋_GB2312" w:hAnsi="仿宋_GB2312" w:eastAsia="仿宋_GB2312" w:cs="仿宋_GB2312"/>
          <w:color w:val="auto"/>
          <w:sz w:val="32"/>
          <w:highlight w:val="none"/>
          <w:u w:val="none"/>
        </w:rPr>
        <w:t>进行了深入讨论，并提出了一系列修改</w:t>
      </w:r>
      <w:r>
        <w:rPr>
          <w:rFonts w:hint="eastAsia" w:ascii="仿宋_GB2312" w:hAnsi="仿宋_GB2312" w:eastAsia="仿宋_GB2312" w:cs="仿宋_GB2312"/>
          <w:color w:val="auto"/>
          <w:sz w:val="32"/>
          <w:highlight w:val="none"/>
          <w:u w:val="none"/>
          <w:lang w:eastAsia="zh-CN"/>
        </w:rPr>
        <w:t>和完善准则的</w:t>
      </w:r>
      <w:r>
        <w:rPr>
          <w:rFonts w:hint="eastAsia" w:ascii="仿宋_GB2312" w:hAnsi="仿宋_GB2312" w:eastAsia="仿宋_GB2312" w:cs="仿宋_GB2312"/>
          <w:color w:val="auto"/>
          <w:sz w:val="32"/>
          <w:highlight w:val="none"/>
          <w:u w:val="none"/>
        </w:rPr>
        <w:t>意见、建议。</w:t>
      </w:r>
    </w:p>
    <w:p w14:paraId="718852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三</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征求意见阶段</w:t>
      </w:r>
    </w:p>
    <w:p w14:paraId="66044C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sz w:val="32"/>
        </w:rPr>
      </w:pPr>
      <w:r>
        <w:rPr>
          <w:rFonts w:hint="eastAsia" w:ascii="仿宋_GB2312" w:hAnsi="仿宋_GB2312" w:eastAsia="仿宋_GB2312" w:cs="仿宋_GB2312"/>
          <w:sz w:val="32"/>
        </w:rPr>
        <w:t>根据与会专家及参会代表的意见和建议，团体标准起草工作组对标准</w:t>
      </w:r>
      <w:r>
        <w:rPr>
          <w:rFonts w:hint="eastAsia" w:ascii="仿宋_GB2312" w:hAnsi="仿宋_GB2312" w:eastAsia="仿宋_GB2312" w:cs="仿宋_GB2312"/>
          <w:sz w:val="32"/>
          <w:lang w:val="en-US" w:eastAsia="zh-CN"/>
        </w:rPr>
        <w:t>草案</w:t>
      </w:r>
      <w:r>
        <w:rPr>
          <w:rFonts w:hint="eastAsia" w:ascii="仿宋_GB2312" w:hAnsi="仿宋_GB2312" w:eastAsia="仿宋_GB2312" w:cs="仿宋_GB2312"/>
          <w:sz w:val="32"/>
        </w:rPr>
        <w:t>进行了修改完善，形成了标准征求意见稿和编制说明</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并</w:t>
      </w:r>
      <w:r>
        <w:rPr>
          <w:rFonts w:hint="eastAsia" w:ascii="仿宋_GB2312" w:hAnsi="仿宋_GB2312" w:eastAsia="仿宋_GB2312" w:cs="仿宋_GB2312"/>
          <w:sz w:val="32"/>
        </w:rPr>
        <w:t>于202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月</w:t>
      </w:r>
      <w:r>
        <w:rPr>
          <w:rFonts w:hint="eastAsia" w:ascii="仿宋_GB2312" w:hAnsi="仿宋_GB2312" w:eastAsia="仿宋_GB2312" w:cs="仿宋_GB2312"/>
          <w:sz w:val="32"/>
          <w:lang w:eastAsia="zh-CN"/>
        </w:rPr>
        <w:t>下旬</w:t>
      </w:r>
      <w:r>
        <w:rPr>
          <w:rFonts w:hint="eastAsia" w:ascii="仿宋_GB2312" w:hAnsi="仿宋_GB2312" w:eastAsia="仿宋_GB2312" w:cs="仿宋_GB2312"/>
          <w:sz w:val="32"/>
        </w:rPr>
        <w:t>提交《</w:t>
      </w:r>
      <w:r>
        <w:rPr>
          <w:rFonts w:hint="eastAsia" w:ascii="仿宋_GB2312" w:hAnsi="仿宋_GB2312" w:eastAsia="仿宋_GB2312" w:cs="仿宋_GB2312"/>
          <w:sz w:val="32"/>
          <w:lang w:val="en-US" w:eastAsia="zh-CN"/>
        </w:rPr>
        <w:t>广州市工程建设质量管理小组活动准则</w:t>
      </w:r>
      <w:r>
        <w:rPr>
          <w:rFonts w:hint="eastAsia" w:ascii="仿宋_GB2312" w:hAnsi="仿宋_GB2312" w:eastAsia="仿宋_GB2312" w:cs="仿宋_GB2312"/>
          <w:sz w:val="32"/>
        </w:rPr>
        <w:t>》标准征求意见稿及征求意见稿编制</w:t>
      </w:r>
      <w:r>
        <w:rPr>
          <w:rFonts w:hint="eastAsia" w:ascii="仿宋_GB2312" w:hAnsi="仿宋_GB2312" w:eastAsia="仿宋_GB2312" w:cs="仿宋_GB2312"/>
          <w:sz w:val="32"/>
          <w:highlight w:val="none"/>
        </w:rPr>
        <w:t>说明，</w:t>
      </w:r>
      <w:r>
        <w:rPr>
          <w:rFonts w:hint="eastAsia" w:ascii="仿宋_GB2312" w:hAnsi="仿宋_GB2312" w:eastAsia="仿宋_GB2312" w:cs="仿宋_GB2312"/>
          <w:sz w:val="32"/>
          <w:lang w:val="en-US" w:eastAsia="zh-CN"/>
        </w:rPr>
        <w:t>向相关单位进行定向征求意见，并同步进行网上公开征求意见，广泛征求各方意见和建议。</w:t>
      </w:r>
    </w:p>
    <w:p w14:paraId="2E6C9B4F">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sz w:val="32"/>
        </w:rPr>
      </w:pPr>
      <w:r>
        <w:rPr>
          <w:rFonts w:hint="eastAsia" w:ascii="Times New Roman" w:hAnsi="Times New Roman"/>
          <w:sz w:val="32"/>
        </w:rPr>
        <w:t>五、标准主要内容</w:t>
      </w:r>
      <w:bookmarkEnd w:id="4"/>
    </w:p>
    <w:p w14:paraId="2D600751">
      <w:pPr>
        <w:pStyle w:val="10"/>
        <w:keepNext w:val="0"/>
        <w:keepLines w:val="0"/>
        <w:pageBreakBefore w:val="0"/>
        <w:widowControl w:val="0"/>
        <w:suppressLineNumbers w:val="0"/>
        <w:kinsoku w:val="0"/>
        <w:wordWrap/>
        <w:overflowPunct w:val="0"/>
        <w:topLinePunct w:val="0"/>
        <w:autoSpaceDE w:val="0"/>
        <w:autoSpaceDN w:val="0"/>
        <w:bidi w:val="0"/>
        <w:adjustRightInd w:val="0"/>
        <w:snapToGrid/>
        <w:spacing w:line="576" w:lineRule="exact"/>
        <w:ind w:left="6" w:firstLine="640" w:firstLineChars="200"/>
        <w:textAlignment w:val="auto"/>
        <w:rPr>
          <w:rFonts w:hint="eastAsia" w:ascii="仿宋_GB2312" w:hAnsi="仿宋_GB2312" w:eastAsia="仿宋_GB2312" w:cs="仿宋_GB2312"/>
          <w:color w:val="auto"/>
          <w:kern w:val="2"/>
          <w:sz w:val="32"/>
          <w:szCs w:val="32"/>
          <w:lang w:val="en-US" w:eastAsia="zh-CN" w:bidi="ar-SA"/>
          <w14:ligatures w14:val="none"/>
        </w:rPr>
      </w:pPr>
      <w:r>
        <w:rPr>
          <w:rFonts w:hint="eastAsia" w:ascii="仿宋_GB2312" w:hAnsi="仿宋_GB2312" w:eastAsia="仿宋_GB2312" w:cs="仿宋_GB2312"/>
          <w:color w:val="auto"/>
          <w:kern w:val="2"/>
          <w:sz w:val="32"/>
          <w:szCs w:val="32"/>
          <w:lang w:val="en-US" w:eastAsia="zh-CN" w:bidi="ar-SA"/>
          <w14:ligatures w14:val="none"/>
        </w:rPr>
        <w:t>（一）前言</w:t>
      </w:r>
    </w:p>
    <w:p w14:paraId="548EC206">
      <w:pPr>
        <w:pStyle w:val="10"/>
        <w:keepNext w:val="0"/>
        <w:keepLines w:val="0"/>
        <w:pageBreakBefore w:val="0"/>
        <w:widowControl w:val="0"/>
        <w:suppressLineNumbers w:val="0"/>
        <w:kinsoku w:val="0"/>
        <w:wordWrap/>
        <w:overflowPunct w:val="0"/>
        <w:topLinePunct w:val="0"/>
        <w:autoSpaceDE w:val="0"/>
        <w:autoSpaceDN w:val="0"/>
        <w:bidi w:val="0"/>
        <w:adjustRightInd w:val="0"/>
        <w:snapToGrid/>
        <w:spacing w:line="576" w:lineRule="exact"/>
        <w:ind w:left="6" w:firstLine="640" w:firstLineChars="200"/>
        <w:textAlignment w:val="auto"/>
        <w:rPr>
          <w:rFonts w:hint="eastAsia" w:ascii="仿宋_GB2312" w:hAnsi="仿宋_GB2312" w:eastAsia="仿宋_GB2312" w:cs="仿宋_GB2312"/>
          <w:color w:val="auto"/>
          <w:kern w:val="2"/>
          <w:sz w:val="32"/>
          <w:szCs w:val="32"/>
          <w:lang w:val="en-US" w:eastAsia="zh-CN" w:bidi="ar-SA"/>
          <w14:ligatures w14:val="none"/>
        </w:rPr>
      </w:pPr>
      <w:r>
        <w:rPr>
          <w:rFonts w:hint="eastAsia" w:ascii="仿宋_GB2312" w:hAnsi="仿宋_GB2312" w:eastAsia="仿宋_GB2312" w:cs="仿宋_GB2312"/>
          <w:color w:val="auto"/>
          <w:kern w:val="2"/>
          <w:sz w:val="32"/>
          <w:szCs w:val="32"/>
          <w:lang w:val="en-US" w:eastAsia="zh-CN" w:bidi="ar-SA"/>
          <w14:ligatures w14:val="none"/>
        </w:rPr>
        <w:t>本标准的体系结构说明，起草依据和规则，提出及归口信息、主要内容，起草及参编单位及主要起草人。</w:t>
      </w:r>
    </w:p>
    <w:p w14:paraId="742CF883">
      <w:pPr>
        <w:pStyle w:val="10"/>
        <w:keepNext w:val="0"/>
        <w:keepLines w:val="0"/>
        <w:pageBreakBefore w:val="0"/>
        <w:widowControl w:val="0"/>
        <w:suppressLineNumbers w:val="0"/>
        <w:kinsoku w:val="0"/>
        <w:wordWrap/>
        <w:overflowPunct w:val="0"/>
        <w:topLinePunct w:val="0"/>
        <w:autoSpaceDE w:val="0"/>
        <w:autoSpaceDN w:val="0"/>
        <w:bidi w:val="0"/>
        <w:adjustRightInd w:val="0"/>
        <w:snapToGrid/>
        <w:spacing w:line="576" w:lineRule="exact"/>
        <w:ind w:left="6" w:firstLine="640" w:firstLineChars="200"/>
        <w:textAlignment w:val="auto"/>
        <w:rPr>
          <w:rFonts w:hint="eastAsia" w:ascii="仿宋_GB2312" w:hAnsi="仿宋_GB2312" w:eastAsia="仿宋_GB2312" w:cs="仿宋_GB2312"/>
          <w:color w:val="auto"/>
          <w:kern w:val="2"/>
          <w:sz w:val="32"/>
          <w:szCs w:val="32"/>
          <w:lang w:val="en-US" w:eastAsia="zh-CN" w:bidi="ar-SA"/>
          <w14:ligatures w14:val="none"/>
        </w:rPr>
      </w:pPr>
      <w:r>
        <w:rPr>
          <w:rFonts w:hint="eastAsia" w:ascii="仿宋_GB2312" w:hAnsi="仿宋_GB2312" w:eastAsia="仿宋_GB2312" w:cs="仿宋_GB2312"/>
          <w:color w:val="auto"/>
          <w:kern w:val="2"/>
          <w:sz w:val="32"/>
          <w:szCs w:val="32"/>
          <w:lang w:val="en-US" w:eastAsia="zh-CN" w:bidi="ar-SA"/>
          <w14:ligatures w14:val="none"/>
        </w:rPr>
        <w:t>（二）引言</w:t>
      </w:r>
    </w:p>
    <w:p w14:paraId="6435F154">
      <w:pPr>
        <w:pStyle w:val="12"/>
        <w:keepNext w:val="0"/>
        <w:keepLines w:val="0"/>
        <w:pageBreakBefore w:val="0"/>
        <w:widowControl w:val="0"/>
        <w:suppressLineNumbers w:val="0"/>
        <w:kinsoku w:val="0"/>
        <w:wordWrap/>
        <w:overflowPunct/>
        <w:topLinePunct w:val="0"/>
        <w:autoSpaceDE w:val="0"/>
        <w:autoSpaceDN w:val="0"/>
        <w:bidi w:val="0"/>
        <w:adjustRightInd w:val="0"/>
        <w:snapToGrid/>
        <w:spacing w:before="28" w:line="576" w:lineRule="exact"/>
        <w:ind w:left="19" w:firstLine="640" w:firstLineChars="200"/>
        <w:textAlignment w:val="auto"/>
        <w:rPr>
          <w:rFonts w:hint="eastAsia" w:ascii="仿宋_GB2312" w:hAnsi="仿宋_GB2312" w:eastAsia="仿宋_GB2312" w:cs="仿宋_GB2312"/>
          <w:b w:val="0"/>
          <w:bCs w:val="0"/>
          <w:color w:val="FF0000"/>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14:ligatures w14:val="none"/>
        </w:rPr>
        <w:t>描述本标准的主旨和文件结构，介绍编制背景，明确质量管理小组的相关规定和原则，阐述标准制定的作用和意义。</w:t>
      </w:r>
    </w:p>
    <w:p w14:paraId="2F73AA0A">
      <w:pPr>
        <w:pStyle w:val="13"/>
        <w:keepNext w:val="0"/>
        <w:keepLines w:val="0"/>
        <w:pageBreakBefore w:val="0"/>
        <w:widowControl w:val="0"/>
        <w:suppressLineNumbers w:val="0"/>
        <w:kinsoku w:val="0"/>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1.范围</w:t>
      </w:r>
    </w:p>
    <w:p w14:paraId="23D62F73">
      <w:pPr>
        <w:pStyle w:val="13"/>
        <w:keepNext w:val="0"/>
        <w:keepLines w:val="0"/>
        <w:pageBreakBefore w:val="0"/>
        <w:widowControl w:val="0"/>
        <w:suppressLineNumbers w:val="0"/>
        <w:kinsoku w:val="0"/>
        <w:wordWrap/>
        <w:overflowPunct/>
        <w:topLinePunct w:val="0"/>
        <w:autoSpaceDE w:val="0"/>
        <w:autoSpaceDN w:val="0"/>
        <w:bidi w:val="0"/>
        <w:adjustRightInd w:val="0"/>
        <w:snapToGrid/>
        <w:spacing w:line="576"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明确本标准的规定程序及适用范围等。</w:t>
      </w:r>
    </w:p>
    <w:p w14:paraId="48EC5CC7">
      <w:pPr>
        <w:pStyle w:val="13"/>
        <w:keepNext w:val="0"/>
        <w:keepLines w:val="0"/>
        <w:pageBreakBefore w:val="0"/>
        <w:widowControl w:val="0"/>
        <w:suppressLineNumbers w:val="0"/>
        <w:kinsoku w:val="0"/>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2.规范性引用文件</w:t>
      </w:r>
    </w:p>
    <w:p w14:paraId="19D10D35">
      <w:pPr>
        <w:pStyle w:val="13"/>
        <w:keepNext w:val="0"/>
        <w:keepLines w:val="0"/>
        <w:pageBreakBefore w:val="0"/>
        <w:widowControl w:val="0"/>
        <w:suppressLineNumbers w:val="0"/>
        <w:kinsoku w:val="0"/>
        <w:wordWrap/>
        <w:overflowPunct/>
        <w:topLinePunct w:val="0"/>
        <w:autoSpaceDE w:val="0"/>
        <w:autoSpaceDN w:val="0"/>
        <w:bidi w:val="0"/>
        <w:adjustRightInd w:val="0"/>
        <w:snapToGrid/>
        <w:spacing w:line="576"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通过规范性引用而构成本文件必不可少的条款，列出引用文件。</w:t>
      </w:r>
    </w:p>
    <w:p w14:paraId="36DD4709">
      <w:pPr>
        <w:pStyle w:val="13"/>
        <w:keepNext w:val="0"/>
        <w:keepLines w:val="0"/>
        <w:pageBreakBefore w:val="0"/>
        <w:widowControl w:val="0"/>
        <w:suppressLineNumbers w:val="0"/>
        <w:kinsoku w:val="0"/>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3.术语和定义</w:t>
      </w:r>
    </w:p>
    <w:p w14:paraId="371912DB">
      <w:pPr>
        <w:pStyle w:val="13"/>
        <w:keepNext w:val="0"/>
        <w:keepLines w:val="0"/>
        <w:pageBreakBefore w:val="0"/>
        <w:widowControl w:val="0"/>
        <w:suppressLineNumbers w:val="0"/>
        <w:kinsoku w:val="0"/>
        <w:wordWrap/>
        <w:overflowPunct/>
        <w:topLinePunct w:val="0"/>
        <w:autoSpaceDE w:val="0"/>
        <w:autoSpaceDN w:val="0"/>
        <w:bidi w:val="0"/>
        <w:adjustRightInd w:val="0"/>
        <w:snapToGrid/>
        <w:spacing w:line="576"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专业名词解释。</w:t>
      </w:r>
    </w:p>
    <w:p w14:paraId="1648CC52">
      <w:pPr>
        <w:pStyle w:val="13"/>
        <w:keepNext w:val="0"/>
        <w:keepLines w:val="0"/>
        <w:pageBreakBefore w:val="0"/>
        <w:widowControl w:val="0"/>
        <w:suppressLineNumbers w:val="0"/>
        <w:kinsoku w:val="0"/>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4.活动程序要求</w:t>
      </w:r>
    </w:p>
    <w:p w14:paraId="1A2FDAE8">
      <w:pPr>
        <w:pStyle w:val="13"/>
        <w:keepNext w:val="0"/>
        <w:keepLines w:val="0"/>
        <w:pageBreakBefore w:val="0"/>
        <w:widowControl w:val="0"/>
        <w:suppressLineNumbers w:val="0"/>
        <w:kinsoku w:val="0"/>
        <w:wordWrap/>
        <w:overflowPunct/>
        <w:topLinePunct w:val="0"/>
        <w:autoSpaceDE w:val="0"/>
        <w:autoSpaceDN w:val="0"/>
        <w:bidi w:val="0"/>
        <w:adjustRightInd w:val="0"/>
        <w:snapToGrid/>
        <w:spacing w:line="576" w:lineRule="exact"/>
        <w:ind w:firstLine="988" w:firstLineChars="309"/>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4.1.问题解决型课题</w:t>
      </w:r>
    </w:p>
    <w:p w14:paraId="31FA86E2">
      <w:pPr>
        <w:pStyle w:val="13"/>
        <w:keepNext w:val="0"/>
        <w:keepLines w:val="0"/>
        <w:pageBreakBefore w:val="0"/>
        <w:widowControl w:val="0"/>
        <w:suppressLineNumbers w:val="0"/>
        <w:kinsoku w:val="0"/>
        <w:wordWrap/>
        <w:overflowPunct/>
        <w:topLinePunct w:val="0"/>
        <w:autoSpaceDE w:val="0"/>
        <w:autoSpaceDN w:val="0"/>
        <w:bidi w:val="0"/>
        <w:adjustRightInd w:val="0"/>
        <w:snapToGrid/>
        <w:spacing w:line="576" w:lineRule="exact"/>
        <w:ind w:firstLine="988" w:firstLineChars="309"/>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4.2.创新型课题</w:t>
      </w:r>
    </w:p>
    <w:p w14:paraId="5BBD262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分别对问题解决型课题和创新型课题作出要求，主要阐述了活动应遵循的基本原则、规范的活动程序及步骤。</w:t>
      </w:r>
    </w:p>
    <w:p w14:paraId="7ED20F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附录A（资料性）广州市工程建设质量管理小组活动常用统计方法汇总表</w:t>
      </w:r>
    </w:p>
    <w:p w14:paraId="201A67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附录B（资料性）广州市工程建设质量管理小组活动评价表</w:t>
      </w:r>
    </w:p>
    <w:p w14:paraId="2E1B58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附录C（资料性）广州市工程建设质量管理小组成果等级评价表</w:t>
      </w:r>
    </w:p>
    <w:p w14:paraId="623D5AF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highlight w:val="none"/>
          <w:u w:val="none"/>
          <w:lang w:val="en-US" w:eastAsia="zh-CN"/>
        </w:rPr>
      </w:pPr>
      <w:r>
        <w:rPr>
          <w:rFonts w:hint="eastAsia" w:ascii="仿宋_GB2312" w:hAnsi="仿宋_GB2312" w:eastAsia="仿宋_GB2312" w:cs="仿宋_GB2312"/>
          <w:color w:val="auto"/>
          <w:sz w:val="32"/>
          <w:highlight w:val="none"/>
          <w:u w:val="none"/>
          <w:lang w:val="en-US" w:eastAsia="zh-CN"/>
        </w:rPr>
        <w:t>参考文献</w:t>
      </w:r>
    </w:p>
    <w:p w14:paraId="1CB51594">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sz w:val="32"/>
        </w:rPr>
      </w:pPr>
      <w:bookmarkStart w:id="5" w:name="_Toc18634"/>
      <w:r>
        <w:rPr>
          <w:rFonts w:hint="eastAsia" w:ascii="Times New Roman" w:hAnsi="Times New Roman"/>
          <w:sz w:val="32"/>
          <w:lang w:val="en-US" w:eastAsia="zh-CN"/>
        </w:rPr>
        <w:t>六、</w:t>
      </w:r>
      <w:r>
        <w:rPr>
          <w:rFonts w:hint="eastAsia" w:ascii="Times New Roman" w:hAnsi="Times New Roman"/>
          <w:sz w:val="32"/>
        </w:rPr>
        <w:t>标准参考的文献资料</w:t>
      </w:r>
      <w:bookmarkEnd w:id="5"/>
    </w:p>
    <w:p w14:paraId="14FA76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rPr>
        <w:t>本文件起草过程中，主要按照GB/T 1.1-2020《标准化工作导则第1部分：标准化文件的结构和起草规则》进行编写。本文件制定过程中，主要</w:t>
      </w:r>
      <w:r>
        <w:rPr>
          <w:rFonts w:hint="eastAsia" w:ascii="仿宋_GB2312" w:hAnsi="仿宋_GB2312" w:eastAsia="仿宋_GB2312" w:cs="仿宋_GB2312"/>
          <w:sz w:val="32"/>
          <w:highlight w:val="none"/>
          <w:lang w:val="en-US" w:eastAsia="zh-CN"/>
        </w:rPr>
        <w:t>引用了中国质量协会</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质量管理小</w:t>
      </w:r>
      <w:r>
        <w:rPr>
          <w:rFonts w:hint="eastAsia" w:ascii="仿宋_GB2312" w:hAnsi="仿宋_GB2312" w:eastAsia="仿宋_GB2312" w:cs="仿宋_GB2312"/>
          <w:color w:val="auto"/>
          <w:sz w:val="32"/>
          <w:highlight w:val="none"/>
          <w:u w:val="none"/>
          <w:lang w:val="en-US" w:eastAsia="zh-CN"/>
        </w:rPr>
        <w:t>组活动准则》T/CAQ 10201-2024和中国施工企业管理协会《工程建设质量管理小组活动准则》T/ZSQX 014-2021相关条款，并参考了以下</w:t>
      </w:r>
      <w:r>
        <w:rPr>
          <w:rFonts w:hint="eastAsia" w:ascii="仿宋_GB2312" w:hAnsi="仿宋_GB2312" w:eastAsia="仿宋_GB2312" w:cs="仿宋_GB2312"/>
          <w:sz w:val="32"/>
          <w:highlight w:val="none"/>
          <w:lang w:val="en-US" w:eastAsia="zh-CN"/>
        </w:rPr>
        <w:t>标准或文件。</w:t>
      </w:r>
    </w:p>
    <w:p w14:paraId="333B0F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（一）中国施工企业管理协会，工程建设质量管理小组活动理论与实务（第2版）[M].北京：中国计划出版社，2020；</w:t>
      </w:r>
    </w:p>
    <w:p w14:paraId="54001A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（二）中国施工企业管理协会，工程建设质量管理小组活动成果评价指南[M].北京：中国市场出版社，2023；</w:t>
      </w:r>
    </w:p>
    <w:p w14:paraId="4F358F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（三）广州市建筑联合会，广州市工程建设行业质量管理小组活动管理办法.2024年修订版。</w:t>
      </w:r>
    </w:p>
    <w:p w14:paraId="1A62CAFA">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sz w:val="32"/>
        </w:rPr>
      </w:pPr>
      <w:bookmarkStart w:id="6" w:name="_Toc11401"/>
      <w:r>
        <w:rPr>
          <w:rFonts w:hint="eastAsia" w:ascii="Times New Roman" w:hAnsi="Times New Roman"/>
          <w:sz w:val="32"/>
          <w:lang w:val="en-US" w:eastAsia="zh-CN"/>
        </w:rPr>
        <w:t>七</w:t>
      </w:r>
      <w:r>
        <w:rPr>
          <w:rFonts w:hint="eastAsia" w:ascii="Times New Roman" w:hAnsi="Times New Roman"/>
          <w:sz w:val="32"/>
        </w:rPr>
        <w:t>、标准中涉及专利的情况</w:t>
      </w:r>
      <w:bookmarkEnd w:id="6"/>
    </w:p>
    <w:p w14:paraId="5521E7C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sz w:val="32"/>
          <w:lang w:val="en-US" w:eastAsia="zh-CN"/>
        </w:rPr>
      </w:pPr>
      <w:r>
        <w:rPr>
          <w:rFonts w:hint="eastAsia" w:ascii="Times New Roman" w:hAnsi="Times New Roman"/>
          <w:sz w:val="32"/>
        </w:rPr>
        <w:t xml:space="preserve"> </w:t>
      </w:r>
      <w:r>
        <w:rPr>
          <w:rFonts w:hint="eastAsia" w:ascii="仿宋_GB2312" w:hAnsi="仿宋_GB2312" w:eastAsia="仿宋_GB2312" w:cs="仿宋_GB2312"/>
          <w:sz w:val="32"/>
          <w:lang w:val="en-US" w:eastAsia="zh-CN"/>
        </w:rPr>
        <w:t>无。</w:t>
      </w:r>
    </w:p>
    <w:p w14:paraId="5920986C">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sz w:val="32"/>
        </w:rPr>
      </w:pPr>
      <w:bookmarkStart w:id="7" w:name="_Toc7273"/>
      <w:r>
        <w:rPr>
          <w:rFonts w:hint="eastAsia" w:ascii="Times New Roman" w:hAnsi="Times New Roman"/>
          <w:sz w:val="32"/>
          <w:lang w:val="en-US" w:eastAsia="zh-CN"/>
        </w:rPr>
        <w:t>八</w:t>
      </w:r>
      <w:r>
        <w:rPr>
          <w:rFonts w:hint="eastAsia" w:ascii="Times New Roman" w:hAnsi="Times New Roman"/>
          <w:sz w:val="32"/>
        </w:rPr>
        <w:t>、与现行法律法规、强制性国家标准及相关标准协调配套情况</w:t>
      </w:r>
      <w:bookmarkEnd w:id="7"/>
    </w:p>
    <w:p w14:paraId="718703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sz w:val="32"/>
        </w:rPr>
      </w:pPr>
      <w:r>
        <w:rPr>
          <w:rFonts w:hint="eastAsia" w:ascii="仿宋_GB2312" w:hAnsi="仿宋_GB2312" w:eastAsia="仿宋_GB2312" w:cs="仿宋_GB2312"/>
          <w:sz w:val="32"/>
        </w:rPr>
        <w:t>符合现行相关</w:t>
      </w:r>
      <w:r>
        <w:rPr>
          <w:rFonts w:hint="eastAsia" w:ascii="仿宋_GB2312" w:hAnsi="仿宋_GB2312" w:eastAsia="仿宋_GB2312" w:cs="仿宋_GB2312"/>
          <w:sz w:val="32"/>
          <w:lang w:eastAsia="zh-CN"/>
        </w:rPr>
        <w:t>法律法规</w:t>
      </w:r>
      <w:r>
        <w:rPr>
          <w:rFonts w:hint="eastAsia" w:ascii="仿宋_GB2312" w:hAnsi="仿宋_GB2312" w:eastAsia="仿宋_GB2312" w:cs="仿宋_GB2312"/>
          <w:sz w:val="32"/>
        </w:rPr>
        <w:t>、规章及相关标准</w:t>
      </w:r>
      <w:r>
        <w:rPr>
          <w:rFonts w:hint="eastAsia" w:ascii="仿宋_GB2312" w:hAnsi="仿宋_GB2312" w:eastAsia="仿宋_GB2312" w:cs="仿宋_GB2312"/>
          <w:sz w:val="32"/>
          <w:lang w:eastAsia="zh-CN"/>
        </w:rPr>
        <w:t>要求</w:t>
      </w:r>
      <w:r>
        <w:rPr>
          <w:rFonts w:hint="eastAsia" w:ascii="仿宋_GB2312" w:hAnsi="仿宋_GB2312" w:eastAsia="仿宋_GB2312" w:cs="仿宋_GB2312"/>
          <w:sz w:val="32"/>
        </w:rPr>
        <w:t>。</w:t>
      </w:r>
    </w:p>
    <w:p w14:paraId="371B0C90">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sz w:val="32"/>
        </w:rPr>
      </w:pPr>
      <w:bookmarkStart w:id="8" w:name="_Toc18147"/>
      <w:r>
        <w:rPr>
          <w:rFonts w:hint="eastAsia" w:ascii="Times New Roman" w:hAnsi="Times New Roman"/>
          <w:sz w:val="32"/>
          <w:lang w:val="en-US" w:eastAsia="zh-CN"/>
        </w:rPr>
        <w:t>九</w:t>
      </w:r>
      <w:r>
        <w:rPr>
          <w:rFonts w:hint="eastAsia" w:ascii="Times New Roman" w:hAnsi="Times New Roman"/>
          <w:sz w:val="32"/>
        </w:rPr>
        <w:t>、重大分歧意见的处理经过和依据</w:t>
      </w:r>
      <w:bookmarkEnd w:id="8"/>
    </w:p>
    <w:p w14:paraId="13F115D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sz w:val="32"/>
          <w:lang w:val="en-US" w:eastAsia="zh-CN"/>
        </w:rPr>
      </w:pPr>
      <w:r>
        <w:rPr>
          <w:rFonts w:hint="eastAsia" w:ascii="仿宋_GB2312" w:hAnsi="仿宋_GB2312" w:eastAsia="仿宋_GB2312" w:cs="仿宋_GB2312"/>
          <w:sz w:val="32"/>
          <w:lang w:val="en-US" w:eastAsia="zh-CN"/>
        </w:rPr>
        <w:t>无重大分歧意见。</w:t>
      </w:r>
    </w:p>
    <w:p w14:paraId="7AE35A42">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sz w:val="32"/>
        </w:rPr>
      </w:pPr>
      <w:bookmarkStart w:id="9" w:name="_Toc14034"/>
      <w:r>
        <w:rPr>
          <w:rFonts w:hint="eastAsia" w:ascii="Times New Roman" w:hAnsi="Times New Roman"/>
          <w:sz w:val="32"/>
          <w:lang w:val="en-US" w:eastAsia="zh-CN"/>
        </w:rPr>
        <w:t>十</w:t>
      </w:r>
      <w:r>
        <w:rPr>
          <w:rFonts w:hint="eastAsia" w:ascii="Times New Roman" w:hAnsi="Times New Roman"/>
          <w:sz w:val="32"/>
        </w:rPr>
        <w:t>、标准性质的建议说明</w:t>
      </w:r>
      <w:bookmarkEnd w:id="9"/>
    </w:p>
    <w:p w14:paraId="1F52FB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本标准为团体标准，供社会各界自愿使用。</w:t>
      </w:r>
    </w:p>
    <w:p w14:paraId="0232112D">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sz w:val="32"/>
        </w:rPr>
      </w:pPr>
      <w:bookmarkStart w:id="10" w:name="_Toc16349"/>
      <w:r>
        <w:rPr>
          <w:rFonts w:hint="eastAsia" w:ascii="Times New Roman" w:hAnsi="Times New Roman"/>
          <w:sz w:val="32"/>
          <w:lang w:val="en-US" w:eastAsia="zh-CN"/>
        </w:rPr>
        <w:t>十一</w:t>
      </w:r>
      <w:r>
        <w:rPr>
          <w:rFonts w:hint="eastAsia" w:ascii="Times New Roman" w:hAnsi="Times New Roman"/>
          <w:sz w:val="32"/>
        </w:rPr>
        <w:t>、贯彻标准的要求和措施建议</w:t>
      </w:r>
      <w:bookmarkEnd w:id="10"/>
    </w:p>
    <w:p w14:paraId="1B76C5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
          <w:sz w:val="32"/>
          <w:lang w:eastAsia="zh-CN"/>
        </w:rPr>
      </w:pPr>
      <w:r>
        <w:rPr>
          <w:rFonts w:hint="eastAsia" w:ascii="仿宋_GB2312" w:hAnsi="仿宋_GB2312" w:eastAsia="仿宋_GB2312" w:cs="仿宋_GB2312"/>
          <w:sz w:val="32"/>
          <w:lang w:val="en-US" w:eastAsia="zh-CN"/>
        </w:rPr>
        <w:t>无。</w:t>
      </w:r>
    </w:p>
    <w:p w14:paraId="47B0E475">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sz w:val="32"/>
        </w:rPr>
      </w:pPr>
      <w:bookmarkStart w:id="11" w:name="_Toc25954"/>
      <w:r>
        <w:rPr>
          <w:rFonts w:hint="eastAsia" w:ascii="Times New Roman" w:hAnsi="Times New Roman"/>
          <w:sz w:val="32"/>
        </w:rPr>
        <w:t>十</w:t>
      </w:r>
      <w:r>
        <w:rPr>
          <w:rFonts w:hint="eastAsia" w:ascii="Times New Roman" w:hAnsi="Times New Roman"/>
          <w:sz w:val="32"/>
          <w:lang w:val="en-US" w:eastAsia="zh-CN"/>
        </w:rPr>
        <w:t>二</w:t>
      </w:r>
      <w:r>
        <w:rPr>
          <w:rFonts w:hint="eastAsia" w:ascii="Times New Roman" w:hAnsi="Times New Roman"/>
          <w:sz w:val="32"/>
        </w:rPr>
        <w:t>、废止现行相关标准的建议</w:t>
      </w:r>
      <w:bookmarkEnd w:id="11"/>
    </w:p>
    <w:p w14:paraId="00BF3B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eastAsia="zh-CN"/>
        </w:rPr>
      </w:pPr>
      <w:r>
        <w:rPr>
          <w:rFonts w:hint="eastAsia" w:ascii="仿宋_GB2312" w:hAnsi="仿宋_GB2312" w:eastAsia="仿宋_GB2312" w:cs="仿宋_GB2312"/>
          <w:sz w:val="32"/>
          <w:lang w:val="en-US" w:eastAsia="zh-CN"/>
        </w:rPr>
        <w:t>本标准为首次发布。</w:t>
      </w:r>
    </w:p>
    <w:p w14:paraId="3F53EB8F">
      <w:pPr>
        <w:pStyle w:val="2"/>
        <w:pageBreakBefore w:val="0"/>
        <w:widowControl w:val="0"/>
        <w:wordWrap/>
        <w:topLinePunct w:val="0"/>
        <w:bidi w:val="0"/>
        <w:snapToGrid/>
        <w:spacing w:line="576" w:lineRule="exact"/>
        <w:ind w:left="0" w:leftChars="0" w:firstLine="640" w:firstLineChars="200"/>
        <w:textAlignment w:val="auto"/>
        <w:outlineLvl w:val="0"/>
        <w:rPr>
          <w:rFonts w:hint="eastAsia" w:ascii="Times New Roman" w:hAnsi="Times New Roman"/>
          <w:sz w:val="32"/>
        </w:rPr>
      </w:pPr>
      <w:bookmarkStart w:id="12" w:name="_Toc4438"/>
      <w:r>
        <w:rPr>
          <w:rFonts w:hint="eastAsia" w:ascii="Times New Roman" w:hAnsi="Times New Roman"/>
          <w:sz w:val="32"/>
        </w:rPr>
        <w:t>十</w:t>
      </w:r>
      <w:r>
        <w:rPr>
          <w:rFonts w:hint="eastAsia" w:ascii="Times New Roman" w:hAnsi="Times New Roman"/>
          <w:sz w:val="32"/>
          <w:lang w:val="en-US" w:eastAsia="zh-CN"/>
        </w:rPr>
        <w:t>三</w:t>
      </w:r>
      <w:r>
        <w:rPr>
          <w:rFonts w:hint="eastAsia" w:ascii="Times New Roman" w:hAnsi="Times New Roman"/>
          <w:sz w:val="32"/>
        </w:rPr>
        <w:t>、其他应予说明的事项</w:t>
      </w:r>
      <w:bookmarkEnd w:id="12"/>
    </w:p>
    <w:p w14:paraId="79327C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本标准在制定过程中，充分考虑了广州市工程建设行业的特点和需求，确保标准具有实用性和可操作性。</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3266F8-7102-44DE-AB0D-666D95F42D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48D94EC-7DBD-4173-A8C4-E5FC1DB7915C}"/>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9D06A4FB-CD1E-4190-98AB-7F5A92A411F1}"/>
  </w:font>
  <w:font w:name="方正小标宋简体">
    <w:panose1 w:val="02010600010101010101"/>
    <w:charset w:val="86"/>
    <w:family w:val="auto"/>
    <w:pitch w:val="default"/>
    <w:sig w:usb0="00000001" w:usb1="080E0000" w:usb2="00000000" w:usb3="00000000" w:csb0="00040000" w:csb1="00000000"/>
    <w:embedRegular r:id="rId4" w:fontKey="{4E26CB52-DA5C-4EC3-9F21-DF7271774CE0}"/>
  </w:font>
  <w:font w:name="仿宋_GB2312">
    <w:panose1 w:val="02010609030101010101"/>
    <w:charset w:val="86"/>
    <w:family w:val="modern"/>
    <w:pitch w:val="default"/>
    <w:sig w:usb0="00000001" w:usb1="080E0000" w:usb2="00000000" w:usb3="00000000" w:csb0="00040000" w:csb1="00000000"/>
    <w:embedRegular r:id="rId5" w:fontKey="{4DC6BF49-D111-40D5-B086-29F0D3D2E8E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247D1"/>
    <w:rsid w:val="0F7657E3"/>
    <w:rsid w:val="11C604AB"/>
    <w:rsid w:val="2A804A44"/>
    <w:rsid w:val="49917B53"/>
    <w:rsid w:val="4A642087"/>
    <w:rsid w:val="4CB46D60"/>
    <w:rsid w:val="734279E8"/>
    <w:rsid w:val="753C08C1"/>
    <w:rsid w:val="7852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Calibri" w:hAnsi="Calibri" w:eastAsia="仿宋" w:cs="宋体"/>
      <w:kern w:val="2"/>
      <w:sz w:val="32"/>
      <w:szCs w:val="24"/>
      <w:lang w:val="en-US" w:eastAsia="zh-CN" w:bidi="ar-SA"/>
    </w:rPr>
  </w:style>
  <w:style w:type="paragraph" w:styleId="2">
    <w:name w:val="heading 2"/>
    <w:basedOn w:val="1"/>
    <w:next w:val="1"/>
    <w:qFormat/>
    <w:uiPriority w:val="0"/>
    <w:pPr>
      <w:keepNext/>
      <w:keepLines/>
      <w:spacing w:beforeAutospacing="0" w:afterAutospacing="0" w:line="240" w:lineRule="auto"/>
      <w:ind w:firstLine="880" w:firstLineChars="200"/>
      <w:outlineLvl w:val="1"/>
    </w:pPr>
    <w:rPr>
      <w:rFonts w:ascii="Arial" w:hAnsi="Arial" w:eastAsia="黑体"/>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toc 1"/>
    <w:basedOn w:val="1"/>
    <w:next w:val="1"/>
    <w:qFormat/>
    <w:uiPriority w:val="0"/>
    <w:pPr>
      <w:ind w:firstLine="0" w:firstLineChars="0"/>
    </w:p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Table Paragraph"/>
    <w:basedOn w:val="1"/>
    <w:qFormat/>
    <w:uiPriority w:val="1"/>
    <w:rPr>
      <w:rFonts w:ascii="黑体" w:eastAsia="黑体" w:cs="黑体"/>
      <w:sz w:val="24"/>
      <w:szCs w:val="24"/>
    </w:r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Table Text"/>
    <w:basedOn w:val="1"/>
    <w:qFormat/>
    <w:uiPriority w:val="0"/>
    <w:rPr>
      <w:rFonts w:ascii="黑体" w:hAnsi="黑体" w:eastAsia="黑体" w:cs="黑体"/>
      <w:sz w:val="22"/>
      <w:szCs w:val="22"/>
      <w:lang w:val="en-US" w:eastAsia="en-US" w:bidi="ar-SA"/>
    </w:rPr>
  </w:style>
  <w:style w:type="paragraph" w:customStyle="1" w:styleId="13">
    <w:name w:val="be358f00-9758-446e-aec5-cde8345aeef3"/>
    <w:basedOn w:val="3"/>
    <w:qFormat/>
    <w:uiPriority w:val="0"/>
    <w:pPr>
      <w:adjustRightInd w:val="0"/>
      <w:spacing w:after="0" w:line="288" w:lineRule="auto"/>
      <w:ind w:firstLine="440"/>
      <w:jc w:val="left"/>
    </w:pPr>
    <w:rPr>
      <w:rFonts w:ascii="微软雅黑" w:hAnsi="微软雅黑" w:eastAsia="微软雅黑"/>
      <w:color w:val="000000"/>
      <w:sz w:val="2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2115</Words>
  <Characters>2251</Characters>
  <Paragraphs>74</Paragraphs>
  <TotalTime>1</TotalTime>
  <ScaleCrop>false</ScaleCrop>
  <LinksUpToDate>false</LinksUpToDate>
  <CharactersWithSpaces>2257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2025-01-19T03:08:00Z</dcterms:created>
  <dc:creator>子豪</dc:creator>
  <cp:lastModifiedBy>加薪</cp:lastModifiedBy>
  <cp:lastPrinted>2025-01-20T06:18:00Z</cp:lastPrinted>
  <dcterms:modified xsi:type="dcterms:W3CDTF">2025-06-25T02:18:06Z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eyJoZGlkIjoiM2RkNDE0ZGI2OTIwYzM1OTQ4MjNkYWU1YmI4N2Q4YzUiLCJ1c2VySWQiOiI2MTc4ODQ1MjkifQ==</vt:lpwstr>
  </property>
  <property fmtid="{D5CDD505-2E9C-101B-9397-08002B2CF9AE}" pid="4" name="ICV">
    <vt:lpwstr>FE485AF36EF14DB698BE3C9663C6FA38_13</vt:lpwstr>
  </property>
</Properties>
</file>