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9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val="en-US" w:eastAsia="zh-CN"/>
        </w:rPr>
        <w:t>2</w:t>
      </w:r>
    </w:p>
    <w:p w14:paraId="2B681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3714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关于修订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《广州市工程建设企业信用等级</w:t>
      </w:r>
    </w:p>
    <w:p w14:paraId="2C2EF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评价管理办法（2025年修订稿）》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的说明</w:t>
      </w:r>
    </w:p>
    <w:p w14:paraId="47267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62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会员单位：</w:t>
      </w:r>
    </w:p>
    <w:p w14:paraId="4AD45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州建筑业企业信用评价试行办法》自发布实施以来，在规范行业信用评价、推动企业诚信经营方面发挥了重要作用。但随着国家社会信用体系建设的深入推进、行业发展模式的转型升级，以及《广东省社会信用条例》《广州市优化营商环境条例》等最新政策法规的出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版办法已难以适应新形势下工程建设行业信用管理的需求，亟需修订完善。</w:t>
      </w:r>
    </w:p>
    <w:p w14:paraId="7C830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修订原则是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在保持原有评价框架基础上，结合行业发展实际和最新政策要求，进行系统性优化，现将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建议修改的主要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内容说明如下：</w:t>
      </w:r>
    </w:p>
    <w:p w14:paraId="1350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法律依据与适用范围调整</w:t>
      </w:r>
    </w:p>
    <w:p w14:paraId="35C1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依据更新：明确将《广东省社会信用条例》《广州市建筑市场信用管理办法》等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出台的法规作为核心依据，删除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中与现行政策不符的条款。</w:t>
      </w:r>
    </w:p>
    <w:p w14:paraId="0EC2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主体扩展：将“建筑业企业”调整为“工程建设企业”，明确包含施工、勘察、设计、监理等法人企业，覆盖工程建设全链条。</w:t>
      </w:r>
    </w:p>
    <w:p w14:paraId="6A6B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评价标准与指标体系优化</w:t>
      </w:r>
    </w:p>
    <w:p w14:paraId="142D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新增“社会责任”维度：在原有“企业基本素质、经营能力、管理指标”等基础上，新增“社会责任”评价指标，呼应高质量发展要求。</w:t>
      </w:r>
    </w:p>
    <w:p w14:paraId="252E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等级划分细化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要求AAA/AA/A级企业“评价期内无单项10分不良行为”，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新修订版本中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取消该硬性限制，改为通过“信用记录”指标动态扣分，更注重企业整改能力和信用修复表现。</w:t>
      </w:r>
    </w:p>
    <w:p w14:paraId="6B14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评价流程与信息采集升级</w:t>
      </w:r>
    </w:p>
    <w:p w14:paraId="632E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多渠道信息采集：除企业申报外，明确要求从“政府公共联合征信系统”“国家/省信用信息公开平台”等官方渠道采集数据，减少企业自报数据的主观性，强化评价客观性。</w:t>
      </w:r>
    </w:p>
    <w:p w14:paraId="00A3A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评价频次提高：将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“每年一次评价”调整为“每年两批”，申报时间灵活，缩短企业等待周期。</w:t>
      </w:r>
    </w:p>
    <w:p w14:paraId="3D35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动态管理机制完善</w:t>
      </w:r>
    </w:p>
    <w:p w14:paraId="44CB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复评延期机制：信用等级有效期仍为3年，但允许企业因特殊原因申请“延期复评”（最长1年），需提交书面说明并经信用委办公室批准。</w:t>
      </w:r>
    </w:p>
    <w:p w14:paraId="618F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晋级与修复通道：降级企业消除不良影响后可申请恢复等级；其他企业可在等级核定后次年申请晋级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A1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结果应用与监督强化</w:t>
      </w:r>
    </w:p>
    <w:p w14:paraId="6EB6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应用场景扩展：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建议将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信用等级作为“市场准入、资质管理、投标资格审查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、重点扶持优势企业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参考依据，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仅提及“行业评优”，新办法直接关联企业市场竞争权益。</w:t>
      </w:r>
    </w:p>
    <w:p w14:paraId="2FF9A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监督渠道统一：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允许向“广州市城乡建设委员会或联合会”投诉，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新修订版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统一投诉渠道为“广州市建筑业联合会信用委办公室”，提升监督效率。</w:t>
      </w:r>
    </w:p>
    <w:p w14:paraId="7068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组织架构与工作纪律调整</w:t>
      </w:r>
    </w:p>
    <w:p w14:paraId="3828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机构精简：取消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“工作指导委员会”“专家评价组”等临时机构，设立常设的“信用评价工作委员会办公室”（信用委办公室），负责评价全流程组织实施，减少冗余环节。</w:t>
      </w:r>
    </w:p>
    <w:p w14:paraId="5EF7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违规处罚细化：对弄虚作假企业，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旧</w:t>
      </w:r>
      <w:r>
        <w:rPr>
          <w:rFonts w:hint="eastAsia" w:ascii="仿宋_GB2312" w:hAnsi="仿宋_GB2312" w:eastAsia="仿宋_GB2312" w:cs="仿宋_GB2312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规定“2年内不得重新申请”，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新修订版</w:t>
      </w:r>
      <w:r>
        <w:rPr>
          <w:rFonts w:hint="eastAsia" w:ascii="仿宋_GB2312" w:hAnsi="仿宋_GB2312" w:eastAsia="仿宋_GB2312" w:cs="仿宋_GB2312"/>
          <w:sz w:val="32"/>
          <w:szCs w:val="32"/>
        </w:rPr>
        <w:t>改为“视情节取消等级并公告，无固定禁申期”，更注重与企业信用修复进度挂钩。</w:t>
      </w:r>
    </w:p>
    <w:p w14:paraId="152E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5D30F023"/>
    <w:p w14:paraId="26BF859F"/>
    <w:p w14:paraId="6937E93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50D1F0-3C52-4B08-A29D-F9D3EBA771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017584F-E051-4EA2-88DC-B9AD4EEDFB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497117B-B4E3-414C-B88A-E2BB57031D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5F13870-E006-40A5-8C72-C61F196FC0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48DA"/>
    <w:rsid w:val="072916E2"/>
    <w:rsid w:val="0AEA1189"/>
    <w:rsid w:val="0B322978"/>
    <w:rsid w:val="1A2E4D06"/>
    <w:rsid w:val="4B8434C0"/>
    <w:rsid w:val="50CF3478"/>
    <w:rsid w:val="51015C59"/>
    <w:rsid w:val="64DE7F68"/>
    <w:rsid w:val="6B482000"/>
    <w:rsid w:val="776548DA"/>
    <w:rsid w:val="78B7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1205</Characters>
  <Lines>0</Lines>
  <Paragraphs>0</Paragraphs>
  <TotalTime>7</TotalTime>
  <ScaleCrop>false</ScaleCrop>
  <LinksUpToDate>false</LinksUpToDate>
  <CharactersWithSpaces>1205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2025-10-15T07:14:00Z</dcterms:created>
  <dc:creator>Y。</dc:creator>
  <cp:lastModifiedBy>Y。</cp:lastModifiedBy>
  <dcterms:modified xsi:type="dcterms:W3CDTF">2025-10-27T02:01:20Z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2928D813E55F423DB44F13D6B446BB9B_11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