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9D2D9">
      <w:pPr>
        <w:ind w:right="160"/>
        <w:rPr>
          <w:rFonts w:eastAsia="黑体"/>
          <w:sz w:val="32"/>
          <w:szCs w:val="32"/>
        </w:rPr>
      </w:pPr>
      <w:r>
        <w:rPr>
          <w:rFonts w:eastAsia="黑体"/>
          <w:sz w:val="32"/>
          <w:szCs w:val="32"/>
        </w:rPr>
        <w:t>附件2</w:t>
      </w:r>
    </w:p>
    <w:p w14:paraId="1DA6803F">
      <w:pPr>
        <w:spacing w:line="576" w:lineRule="exact"/>
        <w:ind w:right="160"/>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观摩项目概况</w:t>
      </w:r>
    </w:p>
    <w:p w14:paraId="424B243B">
      <w:pPr>
        <w:spacing w:line="576" w:lineRule="exact"/>
        <w:ind w:firstLine="640" w:firstLineChars="200"/>
        <w:rPr>
          <w:rFonts w:ascii="仿宋_GB2312" w:eastAsia="仿宋_GB2312"/>
          <w:sz w:val="32"/>
          <w:szCs w:val="32"/>
        </w:rPr>
      </w:pPr>
    </w:p>
    <w:p w14:paraId="7CE4F350">
      <w:pPr>
        <w:spacing w:line="576" w:lineRule="exact"/>
        <w:ind w:firstLine="640" w:firstLineChars="200"/>
        <w:rPr>
          <w:rFonts w:ascii="仿宋_GB2312" w:eastAsia="仿宋_GB2312"/>
          <w:sz w:val="32"/>
          <w:szCs w:val="32"/>
        </w:rPr>
      </w:pPr>
      <w:r>
        <w:rPr>
          <w:rFonts w:hint="eastAsia" w:ascii="仿宋_GB2312" w:eastAsia="仿宋_GB2312"/>
          <w:sz w:val="32"/>
          <w:szCs w:val="32"/>
        </w:rPr>
        <w:t>工程名称：广州市黄埔区云埔街刘村社区岗贝村城中村改造项目（南岗亨元柯庄(南岗北)片区）AP0707058地块（复建地块12）；</w:t>
      </w:r>
    </w:p>
    <w:p w14:paraId="15EFF84D">
      <w:pPr>
        <w:spacing w:line="576" w:lineRule="exact"/>
        <w:ind w:firstLine="640" w:firstLineChars="200"/>
        <w:rPr>
          <w:rFonts w:ascii="仿宋_GB2312" w:eastAsia="仿宋_GB2312"/>
          <w:sz w:val="32"/>
          <w:szCs w:val="32"/>
        </w:rPr>
      </w:pPr>
      <w:r>
        <w:rPr>
          <w:rFonts w:hint="eastAsia" w:ascii="仿宋_GB2312" w:eastAsia="仿宋_GB2312"/>
          <w:sz w:val="32"/>
          <w:szCs w:val="32"/>
        </w:rPr>
        <w:t>建设单位：科学城（广州）城市更新集团有限公司、广州科城亨元柯庄投资运营有限公司；</w:t>
      </w:r>
    </w:p>
    <w:p w14:paraId="238263C6">
      <w:pPr>
        <w:spacing w:line="576" w:lineRule="exact"/>
        <w:ind w:firstLine="640" w:firstLineChars="200"/>
        <w:rPr>
          <w:rFonts w:ascii="仿宋_GB2312" w:eastAsia="仿宋_GB2312"/>
          <w:sz w:val="32"/>
          <w:szCs w:val="32"/>
        </w:rPr>
      </w:pPr>
      <w:r>
        <w:rPr>
          <w:rFonts w:hint="eastAsia" w:ascii="仿宋_GB2312" w:eastAsia="仿宋_GB2312"/>
          <w:sz w:val="32"/>
          <w:szCs w:val="32"/>
        </w:rPr>
        <w:t>设计单位：中交第四航务工程勘察设计院有限公司；</w:t>
      </w:r>
    </w:p>
    <w:p w14:paraId="127CE221">
      <w:pPr>
        <w:spacing w:line="576" w:lineRule="exact"/>
        <w:ind w:firstLine="640" w:firstLineChars="200"/>
        <w:rPr>
          <w:rFonts w:ascii="仿宋_GB2312" w:eastAsia="仿宋_GB2312"/>
          <w:sz w:val="32"/>
          <w:szCs w:val="32"/>
        </w:rPr>
      </w:pPr>
      <w:r>
        <w:rPr>
          <w:rFonts w:hint="eastAsia" w:ascii="仿宋_GB2312" w:eastAsia="仿宋_GB2312"/>
          <w:sz w:val="32"/>
          <w:szCs w:val="32"/>
        </w:rPr>
        <w:t>监理单位：广东建科建设咨询有限公司；</w:t>
      </w:r>
    </w:p>
    <w:p w14:paraId="1F026E03">
      <w:pPr>
        <w:spacing w:line="576" w:lineRule="exact"/>
        <w:ind w:firstLine="640" w:firstLineChars="200"/>
        <w:rPr>
          <w:rFonts w:ascii="仿宋_GB2312" w:eastAsia="仿宋_GB2312"/>
          <w:sz w:val="32"/>
          <w:szCs w:val="32"/>
        </w:rPr>
      </w:pPr>
      <w:r>
        <w:rPr>
          <w:rFonts w:hint="eastAsia" w:ascii="仿宋_GB2312" w:eastAsia="仿宋_GB2312"/>
          <w:sz w:val="32"/>
          <w:szCs w:val="32"/>
        </w:rPr>
        <w:t>施工单位：中交建筑集团有限公司、中交建筑集团第一工程有限公司；</w:t>
      </w:r>
    </w:p>
    <w:p w14:paraId="737E5C14">
      <w:pPr>
        <w:spacing w:line="576" w:lineRule="exact"/>
        <w:ind w:firstLine="640" w:firstLineChars="200"/>
        <w:rPr>
          <w:rFonts w:ascii="仿宋_GB2312" w:eastAsia="仿宋_GB2312"/>
          <w:sz w:val="32"/>
          <w:szCs w:val="32"/>
        </w:rPr>
      </w:pPr>
      <w:r>
        <w:rPr>
          <w:rFonts w:hint="eastAsia" w:ascii="仿宋_GB2312" w:eastAsia="仿宋_GB2312"/>
          <w:sz w:val="32"/>
          <w:szCs w:val="32"/>
        </w:rPr>
        <w:t>联系人：方超；联系方式：13645174445。</w:t>
      </w:r>
    </w:p>
    <w:p w14:paraId="68BA78A7">
      <w:pPr>
        <w:spacing w:line="576" w:lineRule="exact"/>
        <w:ind w:firstLine="640" w:firstLineChars="200"/>
        <w:rPr>
          <w:rFonts w:ascii="仿宋_GB2312" w:eastAsia="仿宋_GB2312"/>
          <w:sz w:val="32"/>
          <w:szCs w:val="32"/>
        </w:rPr>
      </w:pPr>
      <w:r>
        <w:rPr>
          <w:rFonts w:hint="eastAsia" w:ascii="仿宋_GB2312" w:eastAsia="仿宋_GB2312"/>
          <w:sz w:val="32"/>
          <w:szCs w:val="32"/>
        </w:rPr>
        <w:t>项目概况：南岗北12地块项目建设用地位于广东省广州市黄埔区南岗北亨元柯庄片区城中村改造范围。项目作为黄埔区重点城市更新项目，地处人员密集区域，西侧紧邻新港中学、教师新村，南侧紧邻幼儿园、居民区，东侧紧邻酒店，北侧紧邻未签约的村户。项目用地性质为居住用地，主要建设功能为住宅、配套公共服务用房及地下停车库。本工程住宅塔楼1#、2#为一类32F高层建筑，公服配套用房S1#、S2#为公共建筑，S3#为垃圾投放点，地下室为3F地下车库。用地面积18165</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，总建筑面积</w:t>
      </w:r>
      <w:r>
        <w:rPr>
          <w:rFonts w:hint="eastAsia" w:ascii="仿宋_GB2312" w:eastAsia="仿宋_GB2312"/>
          <w:sz w:val="32"/>
          <w:szCs w:val="32"/>
        </w:rPr>
        <w:t>125284.50</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，其中地上建筑面积</w:t>
      </w:r>
      <w:r>
        <w:rPr>
          <w:rFonts w:hint="eastAsia" w:ascii="仿宋_GB2312" w:eastAsia="仿宋_GB2312"/>
          <w:sz w:val="32"/>
          <w:szCs w:val="32"/>
        </w:rPr>
        <w:t>85670.4</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，地下建筑面积</w:t>
      </w:r>
      <w:r>
        <w:rPr>
          <w:rFonts w:hint="eastAsia" w:ascii="仿宋_GB2312" w:eastAsia="仿宋_GB2312"/>
          <w:sz w:val="32"/>
          <w:szCs w:val="32"/>
        </w:rPr>
        <w:t>39614.1</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。合同工期</w:t>
      </w:r>
      <w:r>
        <w:rPr>
          <w:rFonts w:hint="eastAsia" w:ascii="仿宋_GB2312" w:eastAsia="仿宋_GB2312"/>
          <w:sz w:val="32"/>
          <w:szCs w:val="32"/>
        </w:rPr>
        <w:t>920日历天。</w:t>
      </w:r>
    </w:p>
    <w:p w14:paraId="4A6B6469">
      <w:pPr>
        <w:spacing w:line="576" w:lineRule="exact"/>
        <w:ind w:firstLine="640" w:firstLineChars="200"/>
        <w:rPr>
          <w:rFonts w:ascii="仿宋_GB2312" w:eastAsia="仿宋_GB2312"/>
          <w:sz w:val="32"/>
          <w:szCs w:val="32"/>
        </w:rPr>
      </w:pPr>
      <w:r>
        <w:rPr>
          <w:rFonts w:hint="eastAsia" w:ascii="仿宋_GB2312" w:eastAsia="仿宋_GB2312"/>
          <w:sz w:val="32"/>
          <w:szCs w:val="32"/>
        </w:rPr>
        <w:t>项目目标：项目致力于打造集“安全第一、质量保障、绿色施工、智能建造”为一体的示范项目，为广州市城市更新项目提供全新样板。</w:t>
      </w:r>
    </w:p>
    <w:p w14:paraId="27850D25">
      <w:pPr>
        <w:spacing w:line="576" w:lineRule="exact"/>
        <w:ind w:firstLine="640" w:firstLineChars="200"/>
      </w:pPr>
      <w:r>
        <w:rPr>
          <w:rFonts w:hint="eastAsia" w:ascii="仿宋_GB2312" w:eastAsia="仿宋_GB2312"/>
          <w:sz w:val="32"/>
          <w:szCs w:val="32"/>
        </w:rPr>
        <w:t>先进技术：项目创新应用广州市最大面积，集防尘、降噪、节能、防火与智能监控为一体的全封闭气承式基坑气膜；以BIM技术为数字核心底座，贯穿设计、施工、验收全生命周期。公司自主研发的中交云质量APP，形成管理全过程数字档案，提高质量管理溯源性。采用基于BIM+GIS的实测实量管理系统，实现数据与信息同步。搭建中交项目管理系统-PM管理系统、智慧工地管理平台实现工地精细化管理。配套一体化泥浆水分离器系统，实现泥水快速分离、清水场内循环回用、泥饼干化合规外运。配备深基坑全套智能监测、AI摄像头识别违章作业、防护栏杆语音提示、高杆自动喷淋系统、太阳能路灯等智能设备；计划搭载轻载型施工作业智能集成平台（造楼机）与多类智能建造机器人。</w:t>
      </w:r>
      <w:r>
        <w:rPr>
          <w:rFonts w:eastAsia="仿宋_GB2312"/>
          <w:sz w:val="32"/>
          <w:szCs w:val="32"/>
        </w:rPr>
        <w:br w:type="page"/>
      </w:r>
    </w:p>
    <w:p w14:paraId="533BFCFD">
      <w:pPr>
        <w:rPr>
          <w:rFonts w:eastAsia="仿宋_GB2312"/>
          <w:sz w:val="32"/>
          <w:szCs w:val="32"/>
        </w:rPr>
      </w:pPr>
      <w:r>
        <w:rPr>
          <w:rFonts w:eastAsia="仿宋_GB2312"/>
          <w:sz w:val="32"/>
          <w:szCs w:val="32"/>
        </w:rPr>
        <w:t>项目附图：</w:t>
      </w:r>
    </w:p>
    <w:p w14:paraId="687D7604">
      <w:pPr>
        <w:pStyle w:val="2"/>
      </w:pPr>
      <w:r>
        <w:rPr>
          <w:rFonts w:hint="eastAsia"/>
        </w:rPr>
        <w:drawing>
          <wp:inline distT="0" distB="0" distL="114300" distR="114300">
            <wp:extent cx="5217160" cy="3688715"/>
            <wp:effectExtent l="0" t="0" r="10160" b="14605"/>
            <wp:docPr id="3" name="图片 3" descr="效果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效果图1"/>
                    <pic:cNvPicPr>
                      <a:picLocks noChangeAspect="1"/>
                    </pic:cNvPicPr>
                  </pic:nvPicPr>
                  <pic:blipFill>
                    <a:blip r:embed="rId4"/>
                    <a:stretch>
                      <a:fillRect/>
                    </a:stretch>
                  </pic:blipFill>
                  <pic:spPr>
                    <a:xfrm>
                      <a:off x="0" y="0"/>
                      <a:ext cx="5217160" cy="3688715"/>
                    </a:xfrm>
                    <a:prstGeom prst="rect">
                      <a:avLst/>
                    </a:prstGeom>
                  </pic:spPr>
                </pic:pic>
              </a:graphicData>
            </a:graphic>
          </wp:inline>
        </w:drawing>
      </w:r>
    </w:p>
    <w:p w14:paraId="69A29E39">
      <w:pPr>
        <w:pStyle w:val="2"/>
        <w:jc w:val="center"/>
        <w:rPr>
          <w:rFonts w:eastAsia="仿宋_GB2312"/>
          <w:sz w:val="32"/>
          <w:szCs w:val="32"/>
        </w:rPr>
      </w:pPr>
      <w:r>
        <w:rPr>
          <w:rFonts w:eastAsia="仿宋_GB2312"/>
          <w:sz w:val="32"/>
          <w:szCs w:val="32"/>
        </w:rPr>
        <w:t>南岗北12地块项目效果图</w:t>
      </w:r>
    </w:p>
    <w:p w14:paraId="41F46847">
      <w:pPr>
        <w:pStyle w:val="2"/>
      </w:pPr>
      <w:r>
        <w:rPr>
          <w:rFonts w:hint="eastAsia"/>
        </w:rPr>
        <w:drawing>
          <wp:inline distT="0" distB="0" distL="114300" distR="114300">
            <wp:extent cx="5212080" cy="2931795"/>
            <wp:effectExtent l="0" t="0" r="0" b="9525"/>
            <wp:docPr id="4" name="图片 4" descr="50ce351713e70aa485019a07a42906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ce351713e70aa485019a07a42906bc"/>
                    <pic:cNvPicPr>
                      <a:picLocks noChangeAspect="1"/>
                    </pic:cNvPicPr>
                  </pic:nvPicPr>
                  <pic:blipFill>
                    <a:blip r:embed="rId5"/>
                    <a:stretch>
                      <a:fillRect/>
                    </a:stretch>
                  </pic:blipFill>
                  <pic:spPr>
                    <a:xfrm>
                      <a:off x="0" y="0"/>
                      <a:ext cx="5212080" cy="2931795"/>
                    </a:xfrm>
                    <a:prstGeom prst="rect">
                      <a:avLst/>
                    </a:prstGeom>
                  </pic:spPr>
                </pic:pic>
              </a:graphicData>
            </a:graphic>
          </wp:inline>
        </w:drawing>
      </w:r>
    </w:p>
    <w:p w14:paraId="02CFF3A4">
      <w:pPr>
        <w:pStyle w:val="2"/>
        <w:jc w:val="center"/>
      </w:pPr>
      <w:r>
        <w:rPr>
          <w:rFonts w:hint="eastAsia" w:eastAsia="仿宋_GB2312"/>
          <w:sz w:val="32"/>
          <w:szCs w:val="32"/>
        </w:rPr>
        <w:t>气承式基坑气膜安装完成实拍图</w:t>
      </w:r>
    </w:p>
    <w:p w14:paraId="1C2184B2">
      <w:pPr>
        <w:pStyle w:val="2"/>
        <w:jc w:val="center"/>
      </w:pPr>
    </w:p>
    <w:p w14:paraId="064992FC">
      <w:pPr>
        <w:pStyle w:val="2"/>
        <w:jc w:val="center"/>
        <w:rPr>
          <w:rFonts w:eastAsia="仿宋_GB2312"/>
          <w:sz w:val="32"/>
          <w:szCs w:val="32"/>
        </w:rPr>
      </w:pPr>
      <w:r>
        <w:rPr>
          <w:rFonts w:hint="eastAsia"/>
        </w:rPr>
        <w:br w:type="page"/>
      </w:r>
    </w:p>
    <w:p w14:paraId="44694CDD">
      <w:pPr>
        <w:pStyle w:val="2"/>
      </w:pPr>
      <w:r>
        <w:drawing>
          <wp:inline distT="0" distB="0" distL="114300" distR="114300">
            <wp:extent cx="5266690" cy="3075305"/>
            <wp:effectExtent l="0" t="0" r="635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5266690" cy="3075305"/>
                    </a:xfrm>
                    <a:prstGeom prst="rect">
                      <a:avLst/>
                    </a:prstGeom>
                    <a:noFill/>
                    <a:ln>
                      <a:noFill/>
                    </a:ln>
                  </pic:spPr>
                </pic:pic>
              </a:graphicData>
            </a:graphic>
          </wp:inline>
        </w:drawing>
      </w:r>
    </w:p>
    <w:p w14:paraId="62A797EF">
      <w:pPr>
        <w:pStyle w:val="2"/>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气承式基坑气膜三维动画效果图</w:t>
      </w:r>
    </w:p>
    <w:p w14:paraId="646FB896">
      <w:pPr>
        <w:pStyle w:val="2"/>
      </w:pPr>
    </w:p>
    <w:p w14:paraId="079A4F05">
      <w:pPr>
        <w:ind w:right="160"/>
        <w:jc w:val="center"/>
        <w:rPr>
          <w:rFonts w:ascii="黑体" w:hAnsi="黑体" w:eastAsia="黑体" w:cs="黑体"/>
          <w:sz w:val="32"/>
          <w:szCs w:val="32"/>
        </w:rPr>
      </w:pPr>
    </w:p>
    <w:p w14:paraId="6AC0843C">
      <w:pPr>
        <w:ind w:right="160"/>
        <w:jc w:val="center"/>
        <w:rPr>
          <w:rFonts w:ascii="黑体" w:hAnsi="黑体" w:eastAsia="黑体" w:cs="黑体"/>
          <w:sz w:val="32"/>
          <w:szCs w:val="32"/>
        </w:rPr>
      </w:pPr>
    </w:p>
    <w:p w14:paraId="57D99850">
      <w:pPr>
        <w:ind w:right="160"/>
        <w:jc w:val="center"/>
        <w:rPr>
          <w:rFonts w:ascii="黑体" w:hAnsi="黑体" w:eastAsia="黑体" w:cs="黑体"/>
          <w:sz w:val="32"/>
          <w:szCs w:val="32"/>
        </w:rPr>
      </w:pPr>
    </w:p>
    <w:p w14:paraId="0A25DC69">
      <w:pPr>
        <w:ind w:right="160"/>
        <w:jc w:val="center"/>
        <w:rPr>
          <w:rFonts w:ascii="黑体" w:hAnsi="黑体" w:eastAsia="黑体" w:cs="黑体"/>
          <w:sz w:val="32"/>
          <w:szCs w:val="32"/>
        </w:rPr>
      </w:pPr>
    </w:p>
    <w:p w14:paraId="58E9D788">
      <w:pPr>
        <w:ind w:right="160"/>
        <w:jc w:val="center"/>
        <w:rPr>
          <w:rFonts w:ascii="黑体" w:hAnsi="黑体" w:eastAsia="黑体" w:cs="黑体"/>
          <w:sz w:val="32"/>
          <w:szCs w:val="32"/>
        </w:rPr>
      </w:pPr>
    </w:p>
    <w:p w14:paraId="7E96D3B0">
      <w:pPr>
        <w:ind w:right="160"/>
        <w:jc w:val="center"/>
        <w:rPr>
          <w:rFonts w:ascii="黑体" w:hAnsi="黑体" w:eastAsia="黑体" w:cs="黑体"/>
          <w:sz w:val="32"/>
          <w:szCs w:val="32"/>
        </w:rPr>
      </w:pPr>
    </w:p>
    <w:p w14:paraId="778BE008">
      <w:pPr>
        <w:ind w:right="160"/>
        <w:jc w:val="center"/>
        <w:rPr>
          <w:rFonts w:ascii="黑体" w:hAnsi="黑体" w:eastAsia="黑体" w:cs="黑体"/>
          <w:sz w:val="32"/>
          <w:szCs w:val="32"/>
        </w:rPr>
      </w:pPr>
    </w:p>
    <w:p w14:paraId="23B585C4">
      <w:pPr>
        <w:ind w:right="160"/>
        <w:jc w:val="center"/>
        <w:rPr>
          <w:rFonts w:ascii="黑体" w:hAnsi="黑体" w:eastAsia="黑体" w:cs="黑体"/>
          <w:sz w:val="32"/>
          <w:szCs w:val="32"/>
        </w:rPr>
      </w:pPr>
    </w:p>
    <w:p w14:paraId="2EE95A34">
      <w:pPr>
        <w:ind w:right="160"/>
        <w:jc w:val="center"/>
        <w:rPr>
          <w:rFonts w:ascii="黑体" w:hAnsi="黑体" w:eastAsia="黑体" w:cs="黑体"/>
          <w:sz w:val="32"/>
          <w:szCs w:val="32"/>
        </w:rPr>
      </w:pPr>
    </w:p>
    <w:p w14:paraId="7950EEC3">
      <w:pPr>
        <w:ind w:right="160"/>
        <w:jc w:val="center"/>
        <w:rPr>
          <w:rFonts w:ascii="黑体" w:hAnsi="黑体" w:eastAsia="黑体" w:cs="黑体"/>
          <w:sz w:val="32"/>
          <w:szCs w:val="32"/>
        </w:rPr>
      </w:pPr>
    </w:p>
    <w:p w14:paraId="38244D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00D676-9563-49B2-B6EE-A935E1DCA8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740F8DA-732D-46E9-9308-5B79F3357F67}"/>
  </w:font>
  <w:font w:name="方正小标宋简体">
    <w:panose1 w:val="02000000000000000000"/>
    <w:charset w:val="86"/>
    <w:family w:val="script"/>
    <w:pitch w:val="default"/>
    <w:sig w:usb0="00000001" w:usb1="08000000" w:usb2="00000000" w:usb3="00000000" w:csb0="00040000" w:csb1="00000000"/>
    <w:embedRegular r:id="rId3" w:fontKey="{DCA52406-F9CD-44EE-8E30-540B5752020A}"/>
  </w:font>
  <w:font w:name="方正小标宋_GBK">
    <w:panose1 w:val="02000000000000000000"/>
    <w:charset w:val="86"/>
    <w:family w:val="auto"/>
    <w:pitch w:val="default"/>
    <w:sig w:usb0="A00002BF" w:usb1="38CF7CFA" w:usb2="00082016" w:usb3="00000000" w:csb0="00040001" w:csb1="00000000"/>
    <w:embedRegular r:id="rId4" w:fontKey="{6F111055-2421-4A21-BE61-9B1CF7E6A15D}"/>
  </w:font>
  <w:font w:name="仿宋_GB2312">
    <w:panose1 w:val="02010609030101010101"/>
    <w:charset w:val="86"/>
    <w:family w:val="modern"/>
    <w:pitch w:val="default"/>
    <w:sig w:usb0="00000001" w:usb1="080E0000" w:usb2="00000000" w:usb3="00000000" w:csb0="00040000" w:csb1="00000000"/>
    <w:embedRegular r:id="rId5" w:fontKey="{DD918494-E63A-4FDE-AD29-7D65C8DD3CA6}"/>
  </w:font>
  <w:font w:name="Segoe UI Symbol">
    <w:panose1 w:val="020B0502040204020203"/>
    <w:charset w:val="00"/>
    <w:family w:val="swiss"/>
    <w:pitch w:val="default"/>
    <w:sig w:usb0="800001E3" w:usb1="1200FFEF" w:usb2="00040000" w:usb3="04000000" w:csb0="00000001" w:csb1="40000000"/>
    <w:embedRegular r:id="rId6" w:fontKey="{F4B728C1-7BCB-4B73-9639-870DFC77F6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76E3D"/>
    <w:rsid w:val="5817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2026-08-20T08:36:00Z</dcterms:created>
  <dc:creator>Y。</dc:creator>
  <cp:lastModifiedBy>Y。</cp:lastModifiedBy>
  <dcterms:modified xsi:type="dcterms:W3CDTF">2026-08-20T08:36:18Z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036C2F2984D94C749456B11916F3EABB_11</vt:lpwstr>
  </property>
  <property fmtid="{D5CDD505-2E9C-101B-9397-08002B2CF9AE}" pid="4" name="KSOTemplateDocerSaveRecord">
    <vt:lpwstr>eyJoZGlkIjoiMDI4NDY5YjkxODM1NDk0NmQ5MDFlOWQ5MTdhMTZkNjYiLCJ1c2VySWQiOiIzMjcwMDI1OTAifQ==</vt:lpwstr>
  </property>
</Properties>
</file>