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4E6BB">
      <w:pPr>
        <w:pStyle w:val="16"/>
        <w:widowControl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标题_1" hidden="0" print="1" readonly="0" index="5"/>
        </mc:Choice>
      </mc:AlternateContent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7F1B0E9F">
      <w:pPr>
        <w:pStyle w:val="16"/>
        <w:widowControl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503B0D2">
      <w:pPr>
        <w:pStyle w:val="16"/>
        <w:widowControl/>
        <w:jc w:val="center"/>
      </w:pPr>
      <w:r>
        <w:rPr>
          <w:rFonts w:ascii="方正小标宋简体" w:hAnsi="方正小标宋简体" w:eastAsia="方正小标宋简体" w:cs="Times New Roman"/>
          <w:b w:val="0"/>
          <w:bCs w:val="0"/>
          <w:sz w:val="44"/>
          <w:szCs w:val="44"/>
        </w:rPr>
        <w:t>广州市智能建造项目评价（2.0版）工作指引</w:t>
      </w:r>
      <mc:AlternateContent>
        <mc:Choice Requires="wpsCustomData">
          <wpsCustomData:docfieldEnd id="0"/>
        </mc:Choice>
      </mc:AlternateContent>
    </w:p>
    <w:p w14:paraId="6EF6E35C">
      <w:pPr>
        <w:pStyle w:val="12"/>
        <w:bidi w:val="0"/>
        <w:spacing w:beforeAutospacing="0" w:afterAutospacing="0" w:line="500" w:lineRule="exact"/>
      </w:pPr>
    </w:p>
    <w:p w14:paraId="65ED57FE">
      <w:pPr>
        <w:pStyle w:val="20"/>
        <w:widowControl/>
        <w:numPr>
          <w:ilvl w:val="0"/>
          <w:numId w:val="0"/>
        </w:numPr>
        <w:ind w:leftChars="0"/>
        <w:rPr>
          <w:rFonts w:eastAsia="黑体"/>
          <w:b w:val="0"/>
          <w:bCs/>
          <w:sz w:val="32"/>
          <w:szCs w:val="44"/>
        </w:rPr>
      </w:pPr>
      <w:r>
        <w:rPr>
          <w:rFonts w:hint="eastAsia" w:cs="仿宋_GB2312"/>
          <w:b w:val="0"/>
          <w:bCs/>
          <w:sz w:val="32"/>
          <w:szCs w:val="44"/>
          <w:lang w:eastAsia="zh-CN"/>
        </w:rPr>
        <w:t>第一章</w:t>
      </w:r>
      <w:r>
        <w:rPr>
          <w:rFonts w:hint="eastAsia" w:ascii="仿宋" w:hAnsi="仿宋" w:eastAsia="仿宋" w:cs="仿宋"/>
          <w:b w:val="0"/>
          <w:bCs/>
          <w:spacing w:val="-6"/>
          <w:kern w:val="44"/>
          <w:sz w:val="32"/>
          <w:szCs w:val="44"/>
          <w:lang w:eastAsia="zh-CN" w:bidi="ar-SA"/>
        </w:rPr>
        <w:t xml:space="preserve"> </w:t>
      </w:r>
      <w:r>
        <w:rPr>
          <w:rFonts w:ascii="黑体" w:hAnsi="黑体" w:eastAsia="黑体" w:cs="仿宋_GB2312"/>
          <w:b w:val="0"/>
          <w:bCs/>
          <w:sz w:val="32"/>
          <w:szCs w:val="44"/>
        </w:rPr>
        <w:t>总则</w:t>
      </w:r>
    </w:p>
    <w:p w14:paraId="0AB4241E">
      <w:pPr>
        <w:keepNext w:val="0"/>
        <w:keepLines w:val="0"/>
        <w:widowControl/>
        <w:suppressLineNumbers w:val="0"/>
        <w:ind w:firstLine="640" w:firstLineChars="200"/>
        <w:jc w:val="left"/>
        <w:rPr>
          <w:rFonts w:eastAsia="仿宋_GB2312"/>
          <w:b/>
          <w:bCs w:val="0"/>
          <w:sz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lang w:eastAsia="zh-CN"/>
        </w:rPr>
        <w:t>第一条</w:t>
      </w:r>
      <w:r>
        <w:rPr>
          <w:rFonts w:hint="eastAsia" w:cs="Times New Roman"/>
          <w:b/>
          <w:bCs w:val="0"/>
          <w:sz w:val="32"/>
          <w:lang w:eastAsia="zh-CN"/>
        </w:rPr>
        <w:t>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为规范本市智能建造项目企业申报工作，统一项目申报全流程工作标准，保障评价工作客观公正、闭环留痕，依照</w:t>
      </w:r>
      <w:r>
        <w:rPr>
          <w:rFonts w:hint="eastAsia" w:ascii="仿宋_GB2312" w:hAnsi="仿宋_GB2312" w:eastAsia="仿宋_GB2312" w:cs="Times New Roman"/>
          <w:b w:val="0"/>
          <w:bCs w:val="0"/>
          <w:sz w:val="32"/>
          <w:lang w:eastAsia="zh-CN"/>
        </w:rPr>
        <w:t>《</w:t>
      </w:r>
      <w:r>
        <w:rPr>
          <w:rFonts w:ascii="仿宋_GB2312" w:hAnsi="仿宋_GB2312" w:eastAsia="仿宋_GB2312" w:cs="Times New Roman"/>
          <w:b w:val="0"/>
          <w:bCs w:val="0"/>
          <w:sz w:val="32"/>
          <w:lang w:val="en-US" w:eastAsia="zh-CN"/>
        </w:rPr>
        <w:t>广州市住房和城乡建设局关于开展</w:t>
      </w:r>
      <w:r>
        <w:rPr>
          <w:rFonts w:hint="eastAsia" w:ascii="仿宋_GB2312" w:hAnsi="仿宋_GB2312" w:eastAsia="仿宋_GB2312" w:cs="Times New Roman"/>
          <w:b w:val="0"/>
          <w:bCs w:val="0"/>
          <w:sz w:val="32"/>
          <w:lang w:val="en-US" w:eastAsia="zh-CN"/>
        </w:rPr>
        <w:t>房屋建筑项目智能建造评价工作的通知》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《广州市智能建造项目评价指引（2.0版）》及省市建筑产业现代化、智能建造相关管理规定，结合本市房屋</w:t>
      </w:r>
      <w:r>
        <w:rPr>
          <w:rFonts w:hint="eastAsia" w:ascii="仿宋_GB2312" w:hAnsi="仿宋_GB2312" w:eastAsia="仿宋_GB2312" w:cs="Times New Roman"/>
          <w:b w:val="0"/>
          <w:bCs w:val="0"/>
          <w:sz w:val="32"/>
          <w:lang w:val="en-US" w:eastAsia="zh-CN"/>
        </w:rPr>
        <w:t>建筑工程建设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实际，制定本指引。</w:t>
      </w:r>
    </w:p>
    <w:p w14:paraId="00462D6B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第二条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本指引适用于本市行政区域内新建、改建、扩建房屋建筑工程智能建造项目预评价、建设期核查、竣工终评、星级认定及全过程申报管理。</w:t>
      </w:r>
    </w:p>
    <w:p w14:paraId="3F85BB7B">
      <w:pPr>
        <w:pStyle w:val="12"/>
        <w:widowControl/>
        <w:numPr>
          <w:ilvl w:val="0"/>
          <w:numId w:val="0"/>
        </w:numPr>
        <w:ind w:left="0" w:leftChars="0" w:firstLine="616"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第三条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本市智能建造项目评价全流程实行信息化闭环管理，依托智能建造评价系统开展项目申报、资料上传、专家抽取、线上阅档、现场核查、评价打分、意见流转、电子归档等全部业务。系统生成的电子表单、评价报告、归档资料与纸质文书具有同等法律效力。</w:t>
      </w:r>
    </w:p>
    <w:p w14:paraId="5290307C">
      <w:pPr>
        <w:tabs>
          <w:tab w:val="left" w:pos="1111"/>
        </w:tabs>
        <w:bidi w:val="0"/>
        <w:ind w:firstLine="640" w:firstLineChars="200"/>
        <w:jc w:val="left"/>
        <w:rPr>
          <w:rFonts w:eastAsia="仿宋_GB2312"/>
          <w:b/>
          <w:bCs w:val="0"/>
          <w:sz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lang w:eastAsia="zh-CN"/>
        </w:rPr>
        <w:t>第四条</w:t>
      </w:r>
      <w:r>
        <w:rPr>
          <w:rFonts w:hint="eastAsia" w:cs="Times New Roman"/>
          <w:b/>
          <w:bCs w:val="0"/>
          <w:sz w:val="32"/>
          <w:lang w:eastAsia="zh-CN"/>
        </w:rPr>
        <w:t>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智能建造项目评价工作坚持自愿申报、标准统一、客观公正、闭环管理、零收费服务原则，严禁任何单位以评价名义收取评价费、服务费、会务费等相关费用。</w:t>
      </w:r>
    </w:p>
    <w:p w14:paraId="4D1203B9">
      <w:pPr>
        <w:pStyle w:val="20"/>
        <w:widowControl/>
        <w:numPr>
          <w:ilvl w:val="0"/>
          <w:numId w:val="0"/>
        </w:numPr>
        <w:ind w:leftChars="0"/>
        <w:rPr>
          <w:rFonts w:eastAsia="黑体"/>
          <w:b w:val="0"/>
          <w:bCs/>
          <w:sz w:val="32"/>
          <w:szCs w:val="44"/>
        </w:rPr>
      </w:pPr>
      <w:r>
        <w:rPr>
          <w:rFonts w:hint="eastAsia" w:cs="仿宋_GB2312"/>
          <w:b w:val="0"/>
          <w:bCs/>
          <w:sz w:val="32"/>
          <w:szCs w:val="44"/>
          <w:lang w:eastAsia="zh-CN"/>
        </w:rPr>
        <w:t>第二章</w:t>
      </w:r>
      <w:r>
        <w:rPr>
          <w:rFonts w:hint="eastAsia" w:ascii="仿宋" w:hAnsi="仿宋" w:eastAsia="仿宋" w:cs="仿宋"/>
          <w:b w:val="0"/>
          <w:bCs/>
          <w:spacing w:val="-6"/>
          <w:kern w:val="44"/>
          <w:sz w:val="32"/>
          <w:szCs w:val="44"/>
          <w:lang w:eastAsia="zh-CN" w:bidi="ar-SA"/>
        </w:rPr>
        <w:t xml:space="preserve"> </w:t>
      </w:r>
      <w:r>
        <w:rPr>
          <w:rFonts w:ascii="黑体" w:hAnsi="黑体" w:eastAsia="黑体" w:cs="仿宋_GB2312"/>
          <w:b w:val="0"/>
          <w:bCs/>
          <w:sz w:val="32"/>
          <w:szCs w:val="44"/>
        </w:rPr>
        <w:t>申报前期准备与要求</w:t>
      </w:r>
    </w:p>
    <w:p w14:paraId="6D99AD65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第五条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智能建造项目评价申报工作由项目建设单位牵头组织实施；实行施工总承包管理的项目，由总承包单位负责智能建造技术落地、资料汇总、现场配合及全过程申报配合工作，各参建单位协同履职。</w:t>
      </w:r>
    </w:p>
    <w:p w14:paraId="203CB563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第六条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项目申报单位原则上应在项目</w:t>
      </w:r>
      <w:r>
        <w:rPr>
          <w:rFonts w:hint="eastAsia" w:cs="Times New Roman"/>
          <w:b w:val="0"/>
          <w:bCs w:val="0"/>
          <w:sz w:val="32"/>
          <w:lang w:val="en-US" w:eastAsia="zh-CN"/>
        </w:rPr>
        <w:t>取得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整体或±0.0以上施工许可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前，完成线上预评价申报</w:t>
      </w:r>
      <w:r>
        <w:rPr>
          <w:rFonts w:hint="default" w:cs="Times New Roman"/>
          <w:b w:val="0"/>
          <w:bCs w:val="0"/>
          <w:sz w:val="32"/>
          <w:lang w:eastAsia="zh-CN"/>
        </w:rPr>
        <w:t>，</w:t>
      </w:r>
      <w:r>
        <w:rPr>
          <w:rFonts w:hint="eastAsia" w:cs="Times New Roman"/>
          <w:b w:val="0"/>
          <w:bCs w:val="0"/>
          <w:sz w:val="32"/>
          <w:lang w:val="en-US" w:eastAsia="zh-CN"/>
        </w:rPr>
        <w:t>2026年2月2日至</w:t>
      </w:r>
      <w:r>
        <w:rPr>
          <w:rFonts w:hint="default" w:cs="Times New Roman"/>
          <w:b w:val="0"/>
          <w:bCs w:val="0"/>
          <w:sz w:val="32"/>
          <w:lang w:val="en-US" w:eastAsia="zh-CN"/>
        </w:rPr>
        <w:t>本指引</w:t>
      </w:r>
      <w:r>
        <w:rPr>
          <w:rFonts w:hint="default" w:ascii="仿宋_GB2312" w:hAnsi="仿宋_GB2312" w:eastAsia="仿宋_GB2312" w:cs="Times New Roman"/>
          <w:sz w:val="32"/>
          <w:szCs w:val="20"/>
        </w:rPr>
        <w:t>发布之日前已取得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±0.0以上施工许可</w:t>
      </w:r>
      <w:r>
        <w:rPr>
          <w:rFonts w:hint="default" w:ascii="仿宋_GB2312" w:hAnsi="仿宋_GB2312" w:eastAsia="仿宋_GB2312" w:cs="Times New Roman"/>
          <w:sz w:val="32"/>
          <w:szCs w:val="20"/>
        </w:rPr>
        <w:t>的，即日起至</w:t>
      </w:r>
      <w:r>
        <w:rPr>
          <w:rFonts w:hint="eastAsia" w:cs="Times New Roman"/>
          <w:sz w:val="32"/>
          <w:szCs w:val="20"/>
          <w:lang w:val="en-US" w:eastAsia="zh-CN"/>
        </w:rPr>
        <w:t>9</w:t>
      </w:r>
      <w:r>
        <w:rPr>
          <w:rFonts w:hint="default" w:ascii="仿宋_GB2312" w:hAnsi="仿宋_GB2312" w:eastAsia="仿宋_GB2312" w:cs="Times New Roman"/>
          <w:sz w:val="32"/>
          <w:szCs w:val="20"/>
        </w:rPr>
        <w:t>月</w:t>
      </w:r>
      <w:r>
        <w:rPr>
          <w:rFonts w:hint="eastAsia" w:cs="Times New Roman"/>
          <w:sz w:val="32"/>
          <w:szCs w:val="20"/>
          <w:lang w:val="en-US" w:eastAsia="zh-CN"/>
        </w:rPr>
        <w:t>30</w:t>
      </w:r>
      <w:r>
        <w:rPr>
          <w:rFonts w:hint="default" w:ascii="仿宋_GB2312" w:hAnsi="仿宋_GB2312" w:eastAsia="仿宋_GB2312" w:cs="Times New Roman"/>
          <w:sz w:val="32"/>
          <w:szCs w:val="20"/>
        </w:rPr>
        <w:t>日可直接申报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线上预评价；在项目竣工验收完成后1个月内提出终评申请。</w:t>
      </w:r>
    </w:p>
    <w:p w14:paraId="0E7E2E03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color w:val="auto"/>
          <w:sz w:val="32"/>
        </w:rPr>
      </w:pPr>
      <w:r>
        <w:rPr>
          <w:rFonts w:hint="eastAsia" w:cs="Times New Roman"/>
          <w:b/>
          <w:bCs w:val="0"/>
          <w:color w:val="auto"/>
          <w:sz w:val="32"/>
          <w:lang w:eastAsia="zh-CN"/>
        </w:rPr>
        <w:t>第七条　</w:t>
      </w:r>
      <w:r>
        <w:rPr>
          <w:rFonts w:ascii="仿宋_GB2312" w:hAnsi="仿宋_GB2312" w:eastAsia="仿宋_GB2312" w:cs="Times New Roman"/>
          <w:b w:val="0"/>
          <w:bCs w:val="0"/>
          <w:color w:val="auto"/>
          <w:sz w:val="32"/>
        </w:rPr>
        <w:t>申报单位须通过智能建造评价系统</w:t>
      </w:r>
      <w:r>
        <w:rPr>
          <w:rFonts w:hint="eastAsia" w:cs="Times New Roman"/>
          <w:b w:val="0"/>
          <w:bCs w:val="0"/>
          <w:color w:val="auto"/>
          <w:sz w:val="32"/>
          <w:lang w:eastAsia="zh-CN"/>
        </w:rPr>
        <w:t>（</w:t>
      </w:r>
      <w:r>
        <w:rPr>
          <w:rFonts w:hint="eastAsia" w:cs="Times New Roman"/>
          <w:b w:val="0"/>
          <w:bCs w:val="0"/>
          <w:color w:val="auto"/>
          <w:sz w:val="32"/>
          <w:lang w:val="en-US" w:eastAsia="zh-CN"/>
        </w:rPr>
        <w:t>http://8.138.97.180:18080）</w:t>
      </w:r>
      <w:r>
        <w:rPr>
          <w:rFonts w:ascii="仿宋_GB2312" w:hAnsi="仿宋_GB2312" w:eastAsia="仿宋_GB2312" w:cs="Times New Roman"/>
          <w:b w:val="0"/>
          <w:bCs w:val="0"/>
          <w:color w:val="auto"/>
          <w:sz w:val="32"/>
        </w:rPr>
        <w:t>完整提交智能建造项目评价申报表、承诺书、智能建造实施方案和其他佐证材料，所有资料保证真实有效、清晰可查、版本统一；按季度在系统填报《智能建造项目实施情况表》。</w:t>
      </w:r>
    </w:p>
    <w:p w14:paraId="315722B9">
      <w:pPr>
        <w:pStyle w:val="20"/>
        <w:widowControl/>
        <w:numPr>
          <w:ilvl w:val="0"/>
          <w:numId w:val="0"/>
        </w:numPr>
        <w:ind w:leftChars="0"/>
        <w:rPr>
          <w:rFonts w:eastAsia="黑体"/>
          <w:b w:val="0"/>
          <w:bCs/>
          <w:sz w:val="32"/>
          <w:szCs w:val="44"/>
        </w:rPr>
      </w:pPr>
      <w:r>
        <w:rPr>
          <w:rFonts w:hint="eastAsia" w:cs="仿宋_GB2312"/>
          <w:b w:val="0"/>
          <w:bCs/>
          <w:sz w:val="32"/>
          <w:szCs w:val="44"/>
          <w:lang w:eastAsia="zh-CN"/>
        </w:rPr>
        <w:t>第三章</w:t>
      </w:r>
      <w:r>
        <w:rPr>
          <w:rFonts w:hint="eastAsia" w:ascii="仿宋" w:hAnsi="仿宋" w:eastAsia="仿宋" w:cs="仿宋"/>
          <w:b w:val="0"/>
          <w:bCs/>
          <w:spacing w:val="-6"/>
          <w:kern w:val="44"/>
          <w:sz w:val="32"/>
          <w:szCs w:val="44"/>
          <w:lang w:eastAsia="zh-CN" w:bidi="ar-SA"/>
        </w:rPr>
        <w:t xml:space="preserve"> </w:t>
      </w:r>
      <w:r>
        <w:rPr>
          <w:rFonts w:ascii="黑体" w:hAnsi="黑体" w:eastAsia="黑体" w:cs="仿宋_GB2312"/>
          <w:b w:val="0"/>
          <w:bCs/>
          <w:sz w:val="32"/>
          <w:szCs w:val="44"/>
        </w:rPr>
        <w:t>专家抽取及费用说明</w:t>
      </w:r>
    </w:p>
    <w:p w14:paraId="513D94C2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第八条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预评价、建设期现场核查、竣工终评专家组均由</w:t>
      </w:r>
      <w:r>
        <w:rPr>
          <w:rFonts w:hint="eastAsia" w:cs="Times New Roman"/>
          <w:b w:val="0"/>
          <w:bCs w:val="0"/>
          <w:sz w:val="32"/>
          <w:lang w:val="en-US" w:eastAsia="zh-CN"/>
        </w:rPr>
        <w:t>广州市建筑业联合会、</w:t>
      </w:r>
      <w:r>
        <w:rPr>
          <w:rFonts w:hint="eastAsia" w:cs="Times New Roman"/>
          <w:szCs w:val="21"/>
          <w:lang w:val="en-US" w:eastAsia="zh-CN"/>
        </w:rPr>
        <w:t>广州市智能建造与工业化建筑协会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联合</w:t>
      </w:r>
      <w:r>
        <w:rPr>
          <w:rFonts w:hint="eastAsia" w:cs="Times New Roman"/>
          <w:b w:val="0"/>
          <w:bCs w:val="0"/>
          <w:sz w:val="32"/>
          <w:lang w:eastAsia="zh-CN"/>
        </w:rPr>
        <w:t>组建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的专家库中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自动抽取。</w:t>
      </w:r>
      <w:r>
        <w:rPr>
          <w:rFonts w:hint="eastAsia" w:cs="Times New Roman"/>
          <w:b w:val="0"/>
          <w:bCs w:val="0"/>
          <w:sz w:val="32"/>
          <w:lang w:eastAsia="zh-CN"/>
        </w:rPr>
        <w:t>评价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专家组人数3人，专家需及时确认参会意愿，缺额自动补抽，确保专家人数合规、流程合规。</w:t>
      </w:r>
    </w:p>
    <w:p w14:paraId="7B4F2149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第九条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专家存在以下利害关系情形的，申报单位发现后应当及时向</w:t>
      </w:r>
      <w:r>
        <w:rPr>
          <w:rFonts w:hint="eastAsia" w:cs="Times New Roman"/>
          <w:b w:val="0"/>
          <w:bCs w:val="0"/>
          <w:sz w:val="32"/>
          <w:lang w:val="en-US" w:eastAsia="zh-CN"/>
        </w:rPr>
        <w:t>行业协会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报备：本人或所在单位为项目参建单位；存在其他可能影响</w:t>
      </w:r>
      <w:r>
        <w:rPr>
          <w:rFonts w:hint="eastAsia" w:cs="Times New Roman"/>
          <w:b w:val="0"/>
          <w:bCs w:val="0"/>
          <w:sz w:val="32"/>
          <w:lang w:eastAsia="zh-CN"/>
        </w:rPr>
        <w:t>评价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公正的情形。应回避未回避的，本次</w:t>
      </w:r>
      <w:r>
        <w:rPr>
          <w:rFonts w:hint="eastAsia" w:cs="Times New Roman"/>
          <w:b w:val="0"/>
          <w:bCs w:val="0"/>
          <w:sz w:val="32"/>
          <w:lang w:eastAsia="zh-CN"/>
        </w:rPr>
        <w:t>评价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结果无效，重新抽取专家组开展</w:t>
      </w:r>
      <w:r>
        <w:rPr>
          <w:rFonts w:hint="eastAsia" w:cs="Times New Roman"/>
          <w:b w:val="0"/>
          <w:bCs w:val="0"/>
          <w:sz w:val="32"/>
          <w:lang w:eastAsia="zh-CN"/>
        </w:rPr>
        <w:t>评价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。</w:t>
      </w:r>
    </w:p>
    <w:p w14:paraId="6F5D3BDF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sz w:val="32"/>
        </w:rPr>
      </w:pPr>
      <w:r>
        <w:rPr>
          <w:rFonts w:hint="eastAsia" w:cs="Times New Roman"/>
          <w:b/>
          <w:sz w:val="32"/>
          <w:lang w:eastAsia="zh-CN"/>
        </w:rPr>
        <w:t>第十条　</w:t>
      </w:r>
      <w:r>
        <w:rPr>
          <w:rFonts w:ascii="仿宋_GB2312" w:hAnsi="仿宋_GB2312" w:eastAsia="仿宋_GB2312" w:cs="Times New Roman"/>
          <w:sz w:val="32"/>
        </w:rPr>
        <w:t>专家</w:t>
      </w:r>
      <w:r>
        <w:rPr>
          <w:rFonts w:hint="eastAsia" w:cs="Times New Roman"/>
          <w:sz w:val="32"/>
          <w:lang w:eastAsia="zh-CN"/>
        </w:rPr>
        <w:t>评价</w:t>
      </w:r>
      <w:r>
        <w:rPr>
          <w:rFonts w:ascii="仿宋_GB2312" w:hAnsi="仿宋_GB2312" w:eastAsia="仿宋_GB2312" w:cs="Times New Roman"/>
          <w:sz w:val="32"/>
        </w:rPr>
        <w:t>劳务费实行统一标准，预评价、现场核查、竣工终评均按1500元／人次执行，包含市内交通、误工、踏勘等全部费用，不另行计费。劳务费由申报单位支付至专家本人，行业协会仅提供业务对接服务，不代收或中转任何费用。</w:t>
      </w:r>
    </w:p>
    <w:p w14:paraId="30547F57">
      <w:pPr>
        <w:pStyle w:val="20"/>
        <w:widowControl/>
        <w:numPr>
          <w:ilvl w:val="0"/>
          <w:numId w:val="0"/>
        </w:numPr>
        <w:ind w:leftChars="0"/>
        <w:rPr>
          <w:rFonts w:eastAsia="黑体"/>
          <w:b w:val="0"/>
          <w:bCs/>
          <w:sz w:val="32"/>
          <w:szCs w:val="44"/>
        </w:rPr>
      </w:pPr>
      <w:r>
        <w:rPr>
          <w:rFonts w:hint="eastAsia" w:cs="仿宋_GB2312"/>
          <w:b w:val="0"/>
          <w:bCs/>
          <w:sz w:val="32"/>
          <w:szCs w:val="44"/>
          <w:lang w:eastAsia="zh-CN"/>
        </w:rPr>
        <w:t>第四章</w:t>
      </w:r>
      <w:r>
        <w:rPr>
          <w:rFonts w:hint="eastAsia" w:ascii="仿宋" w:hAnsi="仿宋" w:eastAsia="仿宋" w:cs="仿宋"/>
          <w:b w:val="0"/>
          <w:bCs/>
          <w:spacing w:val="-6"/>
          <w:kern w:val="44"/>
          <w:sz w:val="32"/>
          <w:szCs w:val="44"/>
          <w:lang w:eastAsia="zh-CN" w:bidi="ar-SA"/>
        </w:rPr>
        <w:t xml:space="preserve"> </w:t>
      </w:r>
      <w:r>
        <w:rPr>
          <w:rFonts w:hint="eastAsia" w:ascii="黑体" w:hAnsi="黑体" w:eastAsia="黑体" w:cs="仿宋_GB2312"/>
          <w:b w:val="0"/>
          <w:bCs/>
          <w:sz w:val="32"/>
          <w:szCs w:val="44"/>
          <w:lang w:val="en-US" w:eastAsia="zh-CN"/>
        </w:rPr>
        <w:t>项目</w:t>
      </w:r>
      <w:r>
        <w:rPr>
          <w:rFonts w:ascii="黑体" w:hAnsi="黑体" w:eastAsia="黑体" w:cs="仿宋_GB2312"/>
          <w:b w:val="0"/>
          <w:bCs/>
          <w:sz w:val="32"/>
          <w:szCs w:val="44"/>
        </w:rPr>
        <w:t>申报实施流程</w:t>
      </w:r>
    </w:p>
    <w:p w14:paraId="36C90C21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第十一条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全市智能建造项目评价严格执行标准化闭环流程：项目线上申报→系统随机抽取专家→预评价技术审查→建设期应开展1—2次（至少1次）现场核查→竣工终评打分合议→流程校验→结果发布归档。</w:t>
      </w:r>
    </w:p>
    <w:p w14:paraId="698429CA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第十二条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预评价在收到申报材料后</w:t>
      </w:r>
      <w:r>
        <w:rPr>
          <w:rFonts w:hint="eastAsia" w:cs="Times New Roman"/>
          <w:b w:val="0"/>
          <w:bCs w:val="0"/>
          <w:sz w:val="32"/>
          <w:lang w:val="en-US" w:eastAsia="zh-CN"/>
        </w:rPr>
        <w:t>1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个月内完成，专家组以线上阅档、集中研讨为主要方式，重点核查实施方案可行性、技术适配性、重难点及落地保障措施，明确后续现场核查要点。</w:t>
      </w:r>
    </w:p>
    <w:p w14:paraId="39E2A592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第十三条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项目施工全过程开展1—2次专家现场核查，专家组重点核查智能建造技术现场落地实效、平台真实运行数据、智能装备实际作业状态、图模一致性、资料匹配性，排查纸面化、虚假应用、资料造假等问题，形成核查指导意见。申报单位须配合做好现场接待、资料现场核验配合工作。</w:t>
      </w:r>
    </w:p>
    <w:p w14:paraId="19ED6F55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第十四条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项目完成竣工验收备案、全套智能建造资料归集完备后，方可申请竣工终评。专家组结合预评价意见、现场核查记录、现场实体情况、全套佐证资料，严格对照评价细则逐项独立打分、集体合议得出评价结论，出具正式终评报告及星级认定结果。</w:t>
      </w:r>
    </w:p>
    <w:p w14:paraId="78748A84">
      <w:pPr>
        <w:pStyle w:val="12"/>
        <w:widowControl/>
        <w:numPr>
          <w:ilvl w:val="0"/>
          <w:numId w:val="0"/>
        </w:numPr>
        <w:ind w:left="0" w:leftChars="0" w:firstLine="616"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第十五条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严格按照《广州市智能建造项目评价指引（2.0版）》执行星级分级：</w:t>
      </w:r>
    </w:p>
    <w:p w14:paraId="58FAEED7">
      <w:pPr>
        <w:pStyle w:val="12"/>
        <w:widowControl/>
        <w:numPr>
          <w:ilvl w:val="0"/>
          <w:numId w:val="0"/>
        </w:numPr>
        <w:ind w:left="0" w:leftChars="0" w:firstLine="616"/>
        <w:rPr>
          <w:rFonts w:hint="eastAsia" w:cs="Times New Roman"/>
          <w:b w:val="0"/>
          <w:bCs w:val="0"/>
          <w:sz w:val="32"/>
          <w:lang w:eastAsia="zh-CN"/>
        </w:rPr>
      </w:pPr>
      <w:r>
        <w:rPr>
          <w:rFonts w:ascii="仿宋_GB2312" w:hAnsi="仿宋_GB2312" w:eastAsia="仿宋_GB2312" w:cs="Times New Roman"/>
          <w:b w:val="0"/>
          <w:bCs w:val="0"/>
          <w:sz w:val="32"/>
        </w:rPr>
        <w:t>（1）60≤P＜70：基本级</w:t>
      </w:r>
      <w:r>
        <w:rPr>
          <w:rFonts w:hint="eastAsia" w:cs="Times New Roman"/>
          <w:b w:val="0"/>
          <w:bCs w:val="0"/>
          <w:sz w:val="32"/>
          <w:lang w:eastAsia="zh-CN"/>
        </w:rPr>
        <w:t>；</w:t>
      </w:r>
    </w:p>
    <w:p w14:paraId="169FB1AB">
      <w:pPr>
        <w:pStyle w:val="12"/>
        <w:widowControl/>
        <w:numPr>
          <w:ilvl w:val="0"/>
          <w:numId w:val="0"/>
        </w:numPr>
        <w:ind w:left="0" w:leftChars="0" w:firstLine="616"/>
        <w:rPr>
          <w:rFonts w:hint="eastAsia" w:cs="Times New Roman"/>
          <w:b w:val="0"/>
          <w:bCs w:val="0"/>
          <w:sz w:val="32"/>
          <w:lang w:eastAsia="zh-CN"/>
        </w:rPr>
      </w:pPr>
      <w:r>
        <w:rPr>
          <w:rFonts w:ascii="仿宋_GB2312" w:hAnsi="仿宋_GB2312" w:eastAsia="仿宋_GB2312" w:cs="Times New Roman"/>
          <w:b w:val="0"/>
          <w:bCs w:val="0"/>
          <w:sz w:val="32"/>
        </w:rPr>
        <w:t>（2）70≤P＜80：一星级</w:t>
      </w:r>
      <w:r>
        <w:rPr>
          <w:rFonts w:hint="eastAsia" w:cs="Times New Roman"/>
          <w:b w:val="0"/>
          <w:bCs w:val="0"/>
          <w:sz w:val="32"/>
          <w:lang w:eastAsia="zh-CN"/>
        </w:rPr>
        <w:t>；</w:t>
      </w:r>
    </w:p>
    <w:p w14:paraId="42BCCC0F">
      <w:pPr>
        <w:pStyle w:val="12"/>
        <w:widowControl/>
        <w:numPr>
          <w:ilvl w:val="0"/>
          <w:numId w:val="0"/>
        </w:numPr>
        <w:ind w:left="0" w:leftChars="0" w:firstLine="616"/>
        <w:rPr>
          <w:rFonts w:hint="eastAsia" w:cs="Times New Roman"/>
          <w:b w:val="0"/>
          <w:bCs w:val="0"/>
          <w:sz w:val="32"/>
          <w:lang w:eastAsia="zh-CN"/>
        </w:rPr>
      </w:pPr>
      <w:r>
        <w:rPr>
          <w:rFonts w:ascii="仿宋_GB2312" w:hAnsi="仿宋_GB2312" w:eastAsia="仿宋_GB2312" w:cs="Times New Roman"/>
          <w:b w:val="0"/>
          <w:bCs w:val="0"/>
          <w:sz w:val="32"/>
        </w:rPr>
        <w:t>（3）80≤P＜90：二星级</w:t>
      </w:r>
      <w:r>
        <w:rPr>
          <w:rFonts w:hint="eastAsia" w:cs="Times New Roman"/>
          <w:b w:val="0"/>
          <w:bCs w:val="0"/>
          <w:sz w:val="32"/>
          <w:lang w:eastAsia="zh-CN"/>
        </w:rPr>
        <w:t>；</w:t>
      </w:r>
    </w:p>
    <w:p w14:paraId="5FB30D4B">
      <w:pPr>
        <w:pStyle w:val="12"/>
        <w:widowControl/>
        <w:numPr>
          <w:ilvl w:val="0"/>
          <w:numId w:val="0"/>
        </w:numPr>
        <w:ind w:left="0" w:leftChars="0" w:firstLine="616"/>
        <w:rPr>
          <w:rFonts w:hint="eastAsia" w:eastAsia="仿宋_GB2312"/>
          <w:b/>
          <w:bCs w:val="0"/>
          <w:sz w:val="32"/>
          <w:lang w:eastAsia="zh-CN"/>
        </w:rPr>
      </w:pPr>
      <w:r>
        <w:rPr>
          <w:rFonts w:ascii="仿宋_GB2312" w:hAnsi="仿宋_GB2312" w:eastAsia="仿宋_GB2312" w:cs="Times New Roman"/>
          <w:b w:val="0"/>
          <w:bCs w:val="0"/>
          <w:sz w:val="32"/>
        </w:rPr>
        <w:t>（4）P≥90：三星级</w:t>
      </w:r>
      <w:r>
        <w:rPr>
          <w:rFonts w:hint="eastAsia" w:cs="Times New Roman"/>
          <w:b w:val="0"/>
          <w:bCs w:val="0"/>
          <w:sz w:val="32"/>
          <w:lang w:eastAsia="zh-CN"/>
        </w:rPr>
        <w:t>。</w:t>
      </w:r>
    </w:p>
    <w:p w14:paraId="4492057A">
      <w:pPr>
        <w:pStyle w:val="12"/>
        <w:widowControl/>
        <w:numPr>
          <w:ilvl w:val="0"/>
          <w:numId w:val="0"/>
        </w:numPr>
        <w:ind w:left="0" w:leftChars="0" w:firstLine="616"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第十六条　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评价结果</w:t>
      </w:r>
      <w:r>
        <w:rPr>
          <w:rFonts w:hint="eastAsia" w:cs="Times New Roman"/>
          <w:b w:val="0"/>
          <w:bCs w:val="0"/>
          <w:sz w:val="32"/>
          <w:lang w:val="en-US" w:eastAsia="zh-CN"/>
        </w:rPr>
        <w:t>由行业协会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汇总报送</w:t>
      </w:r>
      <w:r>
        <w:rPr>
          <w:rFonts w:hint="eastAsia" w:cs="Times New Roman"/>
          <w:b w:val="0"/>
          <w:bCs w:val="0"/>
          <w:sz w:val="32"/>
          <w:lang w:val="en-US" w:eastAsia="zh-CN"/>
        </w:rPr>
        <w:t>，主管部门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按批次发布智能建造项目评价认定结果。</w:t>
      </w:r>
      <w:bookmarkStart w:id="0" w:name="_GoBack"/>
      <w:bookmarkEnd w:id="0"/>
    </w:p>
    <w:p w14:paraId="649778A8">
      <w:pPr>
        <w:pStyle w:val="12"/>
        <w:widowControl/>
        <w:numPr>
          <w:ilvl w:val="0"/>
          <w:numId w:val="0"/>
        </w:numPr>
        <w:ind w:left="0" w:leftChars="0" w:firstLine="616"/>
        <w:jc w:val="center"/>
        <w:rPr>
          <w:rFonts w:hint="eastAsia" w:ascii="黑体" w:hAnsi="黑体" w:eastAsia="黑体" w:cs="仿宋_GB2312"/>
          <w:b w:val="0"/>
          <w:bCs/>
          <w:spacing w:val="-6"/>
          <w:kern w:val="44"/>
          <w:sz w:val="32"/>
          <w:szCs w:val="44"/>
          <w:lang w:bidi="ar-SA"/>
        </w:rPr>
      </w:pPr>
      <w:r>
        <w:rPr>
          <w:rFonts w:hint="eastAsia" w:ascii="黑体" w:hAnsi="黑体" w:eastAsia="黑体" w:cs="仿宋_GB2312"/>
          <w:b w:val="0"/>
          <w:bCs/>
          <w:spacing w:val="-6"/>
          <w:kern w:val="44"/>
          <w:sz w:val="32"/>
          <w:szCs w:val="44"/>
          <w:lang w:eastAsia="zh-CN" w:bidi="ar-SA"/>
        </w:rPr>
        <w:t xml:space="preserve">第五章 </w:t>
      </w:r>
      <w:r>
        <w:rPr>
          <w:rFonts w:hint="eastAsia" w:ascii="黑体" w:hAnsi="黑体" w:eastAsia="黑体" w:cs="仿宋_GB2312"/>
          <w:b w:val="0"/>
          <w:bCs/>
          <w:spacing w:val="-6"/>
          <w:kern w:val="44"/>
          <w:sz w:val="32"/>
          <w:szCs w:val="44"/>
          <w:lang w:bidi="ar-SA"/>
        </w:rPr>
        <w:t>行业</w:t>
      </w:r>
      <w:r>
        <w:rPr>
          <w:rFonts w:hint="eastAsia" w:ascii="黑体" w:hAnsi="黑体" w:eastAsia="黑体" w:cs="仿宋_GB2312"/>
          <w:b w:val="0"/>
          <w:bCs/>
          <w:spacing w:val="-6"/>
          <w:kern w:val="44"/>
          <w:sz w:val="32"/>
          <w:szCs w:val="44"/>
          <w:lang w:val="en-US" w:eastAsia="zh-CN" w:bidi="ar-SA"/>
        </w:rPr>
        <w:t>协会监督</w:t>
      </w:r>
      <w:r>
        <w:rPr>
          <w:rFonts w:hint="eastAsia" w:ascii="黑体" w:hAnsi="黑体" w:eastAsia="黑体" w:cs="仿宋_GB2312"/>
          <w:b w:val="0"/>
          <w:bCs/>
          <w:spacing w:val="-6"/>
          <w:kern w:val="44"/>
          <w:sz w:val="32"/>
          <w:szCs w:val="44"/>
          <w:lang w:bidi="ar-SA"/>
        </w:rPr>
        <w:t>服务职责</w:t>
      </w:r>
    </w:p>
    <w:p w14:paraId="4FF2958E">
      <w:pPr>
        <w:pStyle w:val="12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Times New Roman"/>
          <w:b w:val="0"/>
          <w:bCs w:val="0"/>
          <w:sz w:val="32"/>
        </w:rPr>
      </w:pPr>
      <w:r>
        <w:rPr>
          <w:rFonts w:hint="eastAsia" w:ascii="仿宋_GB2312" w:hAnsi="仿宋_GB2312" w:eastAsia="仿宋_GB2312" w:cs="Times New Roman"/>
          <w:b/>
          <w:bCs/>
          <w:sz w:val="32"/>
        </w:rPr>
        <w:t>第十</w:t>
      </w:r>
      <w:r>
        <w:rPr>
          <w:rFonts w:hint="eastAsia" w:cs="Times New Roman"/>
          <w:b/>
          <w:bCs/>
          <w:sz w:val="32"/>
          <w:lang w:val="en-US" w:eastAsia="zh-CN"/>
        </w:rPr>
        <w:t>七</w:t>
      </w:r>
      <w:r>
        <w:rPr>
          <w:rFonts w:hint="eastAsia" w:ascii="仿宋_GB2312" w:hAnsi="仿宋_GB2312" w:eastAsia="仿宋_GB2312" w:cs="Times New Roman"/>
          <w:b/>
          <w:bCs/>
          <w:sz w:val="32"/>
        </w:rPr>
        <w:t>条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　行业协会应落实评价过程监督职责，建立互相抽检工作机制；可派员列席对方组织的项目现场、专家会议，做好监督记录，发现违规情形及时报送市散装水泥与建筑节能管理中心。</w:t>
      </w:r>
    </w:p>
    <w:p w14:paraId="15B61D68">
      <w:pPr>
        <w:pStyle w:val="12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Times New Roman"/>
          <w:b w:val="0"/>
          <w:bCs w:val="0"/>
          <w:sz w:val="32"/>
        </w:rPr>
      </w:pPr>
      <w:r>
        <w:rPr>
          <w:rFonts w:hint="eastAsia" w:ascii="仿宋_GB2312" w:hAnsi="仿宋_GB2312" w:eastAsia="仿宋_GB2312" w:cs="Times New Roman"/>
          <w:b/>
          <w:bCs/>
          <w:sz w:val="32"/>
        </w:rPr>
        <w:t>第十</w:t>
      </w:r>
      <w:r>
        <w:rPr>
          <w:rFonts w:hint="eastAsia" w:cs="Times New Roman"/>
          <w:b/>
          <w:bCs/>
          <w:sz w:val="32"/>
          <w:lang w:val="en-US" w:eastAsia="zh-CN"/>
        </w:rPr>
        <w:t>八</w:t>
      </w:r>
      <w:r>
        <w:rPr>
          <w:rFonts w:hint="eastAsia" w:ascii="仿宋_GB2312" w:hAnsi="仿宋_GB2312" w:eastAsia="仿宋_GB2312" w:cs="Times New Roman"/>
          <w:b/>
          <w:bCs/>
          <w:sz w:val="32"/>
        </w:rPr>
        <w:t>条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　行业协会要履行技术指导与公益服务职能，面向申报单位开展过程指导服务，督促申报单位落实智能建造实施方案相关内容。</w:t>
      </w:r>
    </w:p>
    <w:p w14:paraId="4338787E">
      <w:pPr>
        <w:pStyle w:val="12"/>
        <w:widowControl/>
        <w:numPr>
          <w:ilvl w:val="0"/>
          <w:numId w:val="0"/>
        </w:numPr>
        <w:ind w:left="0" w:leftChars="0" w:firstLine="616"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hint="eastAsia" w:ascii="仿宋_GB2312" w:hAnsi="仿宋_GB2312" w:eastAsia="仿宋_GB2312" w:cs="Times New Roman"/>
          <w:b/>
          <w:bCs/>
          <w:sz w:val="32"/>
        </w:rPr>
        <w:t>第十</w:t>
      </w:r>
      <w:r>
        <w:rPr>
          <w:rFonts w:hint="eastAsia" w:cs="Times New Roman"/>
          <w:b/>
          <w:bCs/>
          <w:sz w:val="32"/>
          <w:lang w:val="en-US" w:eastAsia="zh-CN"/>
        </w:rPr>
        <w:t>九</w:t>
      </w:r>
      <w:r>
        <w:rPr>
          <w:rFonts w:hint="eastAsia" w:ascii="仿宋_GB2312" w:hAnsi="仿宋_GB2312" w:eastAsia="仿宋_GB2312" w:cs="Times New Roman"/>
          <w:b/>
          <w:bCs/>
          <w:sz w:val="32"/>
        </w:rPr>
        <w:t>条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　</w:t>
      </w:r>
      <w:r>
        <w:rPr>
          <w:rFonts w:hint="eastAsia" w:cs="Times New Roman"/>
          <w:b w:val="0"/>
          <w:bCs w:val="0"/>
          <w:sz w:val="32"/>
          <w:lang w:val="en-US" w:eastAsia="zh-CN"/>
        </w:rPr>
        <w:t>行业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协会开展技术服务</w:t>
      </w:r>
      <w:r>
        <w:rPr>
          <w:rFonts w:hint="eastAsia" w:cs="Times New Roman"/>
          <w:b w:val="0"/>
          <w:bCs w:val="0"/>
          <w:sz w:val="32"/>
          <w:lang w:val="en-US" w:eastAsia="zh-CN"/>
        </w:rPr>
        <w:t>中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，严格遵守本指引第四条零收费相关规定，不得借监督、技术指导名义向申报单位收取任何形式服务费、咨询费。</w:t>
      </w:r>
    </w:p>
    <w:p w14:paraId="2653E019">
      <w:pPr>
        <w:pStyle w:val="20"/>
        <w:widowControl/>
        <w:numPr>
          <w:ilvl w:val="0"/>
          <w:numId w:val="0"/>
        </w:numPr>
        <w:ind w:leftChars="0"/>
        <w:rPr>
          <w:rFonts w:eastAsia="黑体"/>
          <w:b w:val="0"/>
          <w:bCs/>
          <w:sz w:val="32"/>
          <w:szCs w:val="44"/>
        </w:rPr>
      </w:pPr>
      <w:r>
        <w:rPr>
          <w:rFonts w:hint="eastAsia" w:cs="仿宋_GB2312"/>
          <w:b w:val="0"/>
          <w:bCs/>
          <w:sz w:val="32"/>
          <w:szCs w:val="44"/>
          <w:lang w:eastAsia="zh-CN"/>
        </w:rPr>
        <w:t>第</w:t>
      </w:r>
      <w:r>
        <w:rPr>
          <w:rFonts w:hint="eastAsia" w:cs="仿宋_GB2312"/>
          <w:b w:val="0"/>
          <w:bCs/>
          <w:sz w:val="32"/>
          <w:szCs w:val="44"/>
          <w:lang w:val="en-US" w:eastAsia="zh-CN"/>
        </w:rPr>
        <w:t>六</w:t>
      </w:r>
      <w:r>
        <w:rPr>
          <w:rFonts w:hint="eastAsia" w:cs="仿宋_GB2312"/>
          <w:b w:val="0"/>
          <w:bCs/>
          <w:sz w:val="32"/>
          <w:szCs w:val="44"/>
          <w:lang w:eastAsia="zh-CN"/>
        </w:rPr>
        <w:t>章</w:t>
      </w:r>
      <w:r>
        <w:rPr>
          <w:rFonts w:hint="eastAsia" w:ascii="仿宋" w:hAnsi="仿宋" w:eastAsia="仿宋" w:cs="仿宋"/>
          <w:b w:val="0"/>
          <w:bCs/>
          <w:spacing w:val="-6"/>
          <w:kern w:val="44"/>
          <w:sz w:val="32"/>
          <w:szCs w:val="44"/>
          <w:lang w:eastAsia="zh-CN" w:bidi="ar-SA"/>
        </w:rPr>
        <w:t xml:space="preserve"> </w:t>
      </w:r>
      <w:r>
        <w:rPr>
          <w:rFonts w:ascii="黑体" w:hAnsi="黑体" w:eastAsia="黑体" w:cs="仿宋_GB2312"/>
          <w:b w:val="0"/>
          <w:bCs/>
          <w:sz w:val="32"/>
          <w:szCs w:val="44"/>
        </w:rPr>
        <w:t>异议申请、评价撤销</w:t>
      </w:r>
    </w:p>
    <w:p w14:paraId="2A88A8FC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第二十条　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申报单位对评价过程或者评价结果存在异议，应在收到评价意见7天内，通过线上系统提交书面异议申请及佐证材料；管理机构重新抽取专家组开展独立复核，复核结论书面反馈申报单位。</w:t>
      </w:r>
    </w:p>
    <w:p w14:paraId="0C920A33">
      <w:pPr>
        <w:pStyle w:val="12"/>
        <w:widowControl/>
        <w:numPr>
          <w:ilvl w:val="0"/>
          <w:numId w:val="0"/>
        </w:numPr>
        <w:ind w:left="0" w:leftChars="0" w:firstLine="616"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第二十一条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已经取得智能建造评价认定的项目，存在下列情形之一，作出撤销评价认定的决定，并予以公示：</w:t>
      </w:r>
    </w:p>
    <w:p w14:paraId="3655242A">
      <w:pPr>
        <w:pStyle w:val="12"/>
        <w:widowControl/>
        <w:numPr>
          <w:ilvl w:val="0"/>
          <w:numId w:val="0"/>
        </w:numPr>
        <w:ind w:left="0" w:leftChars="0" w:firstLine="616"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ascii="仿宋_GB2312" w:hAnsi="仿宋_GB2312" w:eastAsia="仿宋_GB2312" w:cs="Times New Roman"/>
          <w:b w:val="0"/>
          <w:bCs w:val="0"/>
          <w:sz w:val="32"/>
        </w:rPr>
        <w:t>（一）申报材料弄虚作假，虚构BIM、智能装备、建筑机器人、平台运行等应用记录；</w:t>
      </w:r>
    </w:p>
    <w:p w14:paraId="0AAAE70F">
      <w:pPr>
        <w:pStyle w:val="12"/>
        <w:widowControl/>
        <w:numPr>
          <w:ilvl w:val="0"/>
          <w:numId w:val="0"/>
        </w:numPr>
        <w:ind w:left="0" w:leftChars="0" w:firstLine="616"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ascii="仿宋_GB2312" w:hAnsi="仿宋_GB2312" w:eastAsia="仿宋_GB2312" w:cs="Times New Roman"/>
          <w:b w:val="0"/>
          <w:bCs w:val="0"/>
          <w:sz w:val="32"/>
        </w:rPr>
        <w:t>（二）核查确认智能建造技术未实际落地，拒不落实整改要求；</w:t>
      </w:r>
    </w:p>
    <w:p w14:paraId="47BE1C16">
      <w:pPr>
        <w:pStyle w:val="12"/>
        <w:widowControl/>
        <w:numPr>
          <w:ilvl w:val="0"/>
          <w:numId w:val="0"/>
        </w:numPr>
        <w:ind w:left="0" w:leftChars="0" w:firstLine="616"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ascii="仿宋_GB2312" w:hAnsi="仿宋_GB2312" w:eastAsia="仿宋_GB2312" w:cs="Times New Roman"/>
          <w:b w:val="0"/>
          <w:bCs w:val="0"/>
          <w:sz w:val="32"/>
        </w:rPr>
        <w:t>（三）参建单位与</w:t>
      </w:r>
      <w:r>
        <w:rPr>
          <w:rFonts w:hint="eastAsia" w:cs="Times New Roman"/>
          <w:b w:val="0"/>
          <w:bCs w:val="0"/>
          <w:sz w:val="32"/>
          <w:lang w:eastAsia="zh-CN"/>
        </w:rPr>
        <w:t>评价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专家串通干预</w:t>
      </w:r>
      <w:r>
        <w:rPr>
          <w:rFonts w:hint="eastAsia" w:cs="Times New Roman"/>
          <w:b w:val="0"/>
          <w:bCs w:val="0"/>
          <w:sz w:val="32"/>
          <w:lang w:eastAsia="zh-CN"/>
        </w:rPr>
        <w:t>评价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打分；</w:t>
      </w:r>
    </w:p>
    <w:p w14:paraId="6789BED0">
      <w:pPr>
        <w:pStyle w:val="12"/>
        <w:widowControl/>
        <w:numPr>
          <w:ilvl w:val="0"/>
          <w:numId w:val="0"/>
        </w:numPr>
        <w:ind w:left="0" w:leftChars="0" w:firstLine="616"/>
        <w:rPr>
          <w:rFonts w:hint="eastAsia" w:cs="Times New Roman"/>
          <w:b w:val="0"/>
          <w:bCs w:val="0"/>
          <w:sz w:val="32"/>
          <w:lang w:eastAsia="zh-CN"/>
        </w:rPr>
      </w:pPr>
      <w:r>
        <w:rPr>
          <w:rFonts w:ascii="仿宋_GB2312" w:hAnsi="仿宋_GB2312" w:eastAsia="仿宋_GB2312" w:cs="Times New Roman"/>
          <w:b w:val="0"/>
          <w:bCs w:val="0"/>
          <w:sz w:val="32"/>
        </w:rPr>
        <w:t>（四）项目发生重大质量安全责任事故</w:t>
      </w:r>
      <w:r>
        <w:rPr>
          <w:rFonts w:hint="eastAsia" w:cs="Times New Roman"/>
          <w:b w:val="0"/>
          <w:bCs w:val="0"/>
          <w:sz w:val="32"/>
          <w:lang w:eastAsia="zh-CN"/>
        </w:rPr>
        <w:t>；</w:t>
      </w:r>
    </w:p>
    <w:p w14:paraId="4828B62B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 w:val="0"/>
          <w:bCs w:val="0"/>
          <w:sz w:val="32"/>
          <w:lang w:eastAsia="zh-CN"/>
        </w:rPr>
        <w:t>（</w:t>
      </w:r>
      <w:r>
        <w:rPr>
          <w:rFonts w:hint="eastAsia" w:cs="Times New Roman"/>
          <w:b w:val="0"/>
          <w:bCs w:val="0"/>
          <w:sz w:val="32"/>
          <w:lang w:val="en-US" w:eastAsia="zh-CN"/>
        </w:rPr>
        <w:t>五</w:t>
      </w:r>
      <w:r>
        <w:rPr>
          <w:rFonts w:hint="eastAsia" w:cs="Times New Roman"/>
          <w:b w:val="0"/>
          <w:bCs w:val="0"/>
          <w:sz w:val="32"/>
          <w:lang w:eastAsia="zh-CN"/>
        </w:rPr>
        <w:t>）其他违反评价管理相关规定，应当撤销评价认定的情形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。</w:t>
      </w:r>
    </w:p>
    <w:p w14:paraId="2779F498">
      <w:pPr>
        <w:pStyle w:val="12"/>
        <w:widowControl/>
        <w:numPr>
          <w:ilvl w:val="0"/>
          <w:numId w:val="0"/>
        </w:numPr>
        <w:ind w:left="0" w:leftChars="0" w:firstLine="616"/>
        <w:rPr>
          <w:rFonts w:eastAsia="仿宋_GB2312"/>
          <w:b/>
          <w:bCs w:val="0"/>
          <w:sz w:val="32"/>
        </w:rPr>
      </w:pPr>
      <w:r>
        <w:rPr>
          <w:rFonts w:hint="eastAsia" w:cs="Times New Roman"/>
          <w:b/>
          <w:bCs w:val="0"/>
          <w:sz w:val="32"/>
          <w:lang w:eastAsia="zh-CN"/>
        </w:rPr>
        <w:t>第二十二条　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申报单位提交虚假材料骗取评价认定，予以行业通报；涉及套取政策扶持资金的，依规追回相关资金，并将有关失信线索报送住房城乡建设主管部门，由主管部门按规定处理。</w:t>
      </w:r>
    </w:p>
    <w:p w14:paraId="627293D9">
      <w:pPr>
        <w:pStyle w:val="20"/>
        <w:widowControl/>
        <w:numPr>
          <w:ilvl w:val="0"/>
          <w:numId w:val="0"/>
        </w:numPr>
        <w:ind w:leftChars="0"/>
        <w:rPr>
          <w:rFonts w:eastAsia="黑体"/>
          <w:b w:val="0"/>
          <w:bCs/>
          <w:sz w:val="32"/>
          <w:szCs w:val="44"/>
        </w:rPr>
      </w:pPr>
      <w:r>
        <w:rPr>
          <w:rFonts w:hint="eastAsia" w:cs="仿宋_GB2312"/>
          <w:b w:val="0"/>
          <w:bCs/>
          <w:sz w:val="32"/>
          <w:szCs w:val="44"/>
          <w:lang w:eastAsia="zh-CN"/>
        </w:rPr>
        <w:t>第</w:t>
      </w:r>
      <w:r>
        <w:rPr>
          <w:rFonts w:hint="eastAsia" w:cs="仿宋_GB2312"/>
          <w:b w:val="0"/>
          <w:bCs/>
          <w:sz w:val="32"/>
          <w:szCs w:val="44"/>
          <w:lang w:val="en-US" w:eastAsia="zh-CN"/>
        </w:rPr>
        <w:t>七</w:t>
      </w:r>
      <w:r>
        <w:rPr>
          <w:rFonts w:hint="eastAsia" w:cs="仿宋_GB2312"/>
          <w:b w:val="0"/>
          <w:bCs/>
          <w:sz w:val="32"/>
          <w:szCs w:val="44"/>
          <w:lang w:eastAsia="zh-CN"/>
        </w:rPr>
        <w:t>章</w:t>
      </w:r>
      <w:r>
        <w:rPr>
          <w:rFonts w:hint="eastAsia" w:ascii="仿宋" w:hAnsi="仿宋" w:eastAsia="仿宋" w:cs="仿宋"/>
          <w:b w:val="0"/>
          <w:bCs/>
          <w:spacing w:val="-6"/>
          <w:kern w:val="44"/>
          <w:sz w:val="32"/>
          <w:szCs w:val="44"/>
          <w:lang w:eastAsia="zh-CN" w:bidi="ar-SA"/>
        </w:rPr>
        <w:t xml:space="preserve"> </w:t>
      </w:r>
      <w:r>
        <w:rPr>
          <w:rFonts w:ascii="黑体" w:hAnsi="黑体" w:eastAsia="黑体" w:cs="仿宋_GB2312"/>
          <w:b w:val="0"/>
          <w:bCs/>
          <w:sz w:val="32"/>
          <w:szCs w:val="44"/>
        </w:rPr>
        <w:t>档案归档要求</w:t>
      </w:r>
    </w:p>
    <w:p w14:paraId="32D91206">
      <w:pPr>
        <w:pStyle w:val="12"/>
        <w:widowControl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ascii="仿宋_GB2312" w:hAnsi="仿宋_GB2312" w:eastAsia="仿宋_GB2312" w:cs="Times New Roman"/>
          <w:b/>
          <w:bCs w:val="0"/>
          <w:sz w:val="32"/>
        </w:rPr>
        <w:t>第二十</w:t>
      </w:r>
      <w:r>
        <w:rPr>
          <w:rFonts w:hint="eastAsia" w:cs="Times New Roman"/>
          <w:b/>
          <w:bCs w:val="0"/>
          <w:sz w:val="32"/>
          <w:lang w:val="en-US" w:eastAsia="zh-CN"/>
        </w:rPr>
        <w:t>三</w:t>
      </w:r>
      <w:r>
        <w:rPr>
          <w:rFonts w:ascii="仿宋_GB2312" w:hAnsi="仿宋_GB2312" w:eastAsia="仿宋_GB2312" w:cs="Times New Roman"/>
          <w:b/>
          <w:bCs w:val="0"/>
          <w:sz w:val="32"/>
        </w:rPr>
        <w:t>条</w:t>
      </w:r>
      <w:r>
        <w:rPr>
          <w:rFonts w:hint="eastAsia" w:cs="Times New Roman"/>
          <w:b/>
          <w:bCs w:val="0"/>
          <w:sz w:val="32"/>
          <w:lang w:eastAsia="zh-CN"/>
        </w:rPr>
        <w:t>　</w:t>
      </w:r>
      <w:r>
        <w:rPr>
          <w:rFonts w:hint="eastAsia" w:ascii="仿宋_GB2312" w:hAnsi="仿宋_GB2312" w:eastAsia="仿宋_GB2312" w:cs="Times New Roman"/>
          <w:b w:val="0"/>
          <w:bCs w:val="0"/>
          <w:sz w:val="32"/>
        </w:rPr>
        <w:t>申报表、智能建造实施方案、预评价意见、现场核查记录、影像资料、专家打分表、终评报告、异议及复核材料等全部材料，申报单位应当按要求完整提交至系统；电子档案保存期限不少于10年。</w:t>
      </w:r>
    </w:p>
    <w:p w14:paraId="1CC7DD9F">
      <w:pPr>
        <w:pStyle w:val="20"/>
        <w:widowControl/>
        <w:numPr>
          <w:ilvl w:val="0"/>
          <w:numId w:val="0"/>
        </w:numPr>
        <w:ind w:leftChars="0"/>
        <w:rPr>
          <w:rFonts w:eastAsia="黑体"/>
          <w:b w:val="0"/>
          <w:bCs/>
          <w:sz w:val="32"/>
          <w:szCs w:val="44"/>
        </w:rPr>
      </w:pPr>
      <w:r>
        <w:rPr>
          <w:rFonts w:hint="eastAsia" w:cs="仿宋_GB2312"/>
          <w:b w:val="0"/>
          <w:bCs/>
          <w:sz w:val="32"/>
          <w:szCs w:val="44"/>
          <w:lang w:eastAsia="zh-CN"/>
        </w:rPr>
        <w:t>第</w:t>
      </w:r>
      <w:r>
        <w:rPr>
          <w:rFonts w:hint="eastAsia" w:cs="仿宋_GB2312"/>
          <w:b w:val="0"/>
          <w:bCs/>
          <w:sz w:val="32"/>
          <w:szCs w:val="44"/>
          <w:lang w:val="en-US" w:eastAsia="zh-CN"/>
        </w:rPr>
        <w:t>八</w:t>
      </w:r>
      <w:r>
        <w:rPr>
          <w:rFonts w:hint="eastAsia" w:cs="仿宋_GB2312"/>
          <w:b w:val="0"/>
          <w:bCs/>
          <w:sz w:val="32"/>
          <w:szCs w:val="44"/>
          <w:lang w:eastAsia="zh-CN"/>
        </w:rPr>
        <w:t>章</w:t>
      </w:r>
      <w:r>
        <w:rPr>
          <w:rFonts w:hint="eastAsia" w:ascii="仿宋" w:hAnsi="仿宋" w:eastAsia="仿宋" w:cs="仿宋"/>
          <w:b w:val="0"/>
          <w:bCs/>
          <w:spacing w:val="-6"/>
          <w:kern w:val="44"/>
          <w:sz w:val="32"/>
          <w:szCs w:val="44"/>
          <w:lang w:eastAsia="zh-CN" w:bidi="ar-SA"/>
        </w:rPr>
        <w:t xml:space="preserve"> </w:t>
      </w:r>
      <w:r>
        <w:rPr>
          <w:rFonts w:ascii="黑体" w:hAnsi="黑体" w:eastAsia="黑体" w:cs="仿宋_GB2312"/>
          <w:b w:val="0"/>
          <w:bCs/>
          <w:sz w:val="32"/>
          <w:szCs w:val="44"/>
        </w:rPr>
        <w:t>附则</w:t>
      </w:r>
    </w:p>
    <w:p w14:paraId="0BD9E662">
      <w:pPr>
        <w:pStyle w:val="12"/>
        <w:widowControl/>
        <w:rPr>
          <w:rFonts w:ascii="仿宋_GB2312" w:hAnsi="仿宋_GB2312" w:eastAsia="仿宋_GB2312" w:cs="Times New Roman"/>
          <w:b w:val="0"/>
          <w:bCs w:val="0"/>
          <w:sz w:val="32"/>
        </w:rPr>
      </w:pPr>
      <w:r>
        <w:rPr>
          <w:rFonts w:ascii="仿宋_GB2312" w:hAnsi="仿宋_GB2312" w:eastAsia="仿宋_GB2312" w:cs="Times New Roman"/>
          <w:b/>
          <w:bCs w:val="0"/>
          <w:sz w:val="32"/>
        </w:rPr>
        <w:t>第二十</w:t>
      </w:r>
      <w:r>
        <w:rPr>
          <w:rFonts w:hint="eastAsia" w:cs="Times New Roman"/>
          <w:b/>
          <w:bCs w:val="0"/>
          <w:sz w:val="32"/>
          <w:lang w:val="en-US" w:eastAsia="zh-CN"/>
        </w:rPr>
        <w:t>四</w:t>
      </w:r>
      <w:r>
        <w:rPr>
          <w:rFonts w:ascii="仿宋_GB2312" w:hAnsi="仿宋_GB2312" w:eastAsia="仿宋_GB2312" w:cs="Times New Roman"/>
          <w:b/>
          <w:bCs w:val="0"/>
          <w:sz w:val="32"/>
        </w:rPr>
        <w:t>条</w:t>
      </w:r>
      <w:r>
        <w:rPr>
          <w:rFonts w:hint="eastAsia" w:cs="Times New Roman"/>
          <w:b/>
          <w:bCs w:val="0"/>
          <w:sz w:val="32"/>
          <w:lang w:eastAsia="zh-CN"/>
        </w:rPr>
        <w:t>　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本指引由</w:t>
      </w:r>
      <w:r>
        <w:rPr>
          <w:rFonts w:hint="eastAsia" w:cs="Times New Roman"/>
          <w:b w:val="0"/>
          <w:bCs w:val="0"/>
          <w:sz w:val="32"/>
          <w:lang w:val="en-US" w:eastAsia="zh-CN"/>
        </w:rPr>
        <w:t>广州市建筑业联合会、</w:t>
      </w:r>
      <w:r>
        <w:rPr>
          <w:rFonts w:hint="eastAsia" w:cs="Times New Roman"/>
          <w:szCs w:val="21"/>
          <w:lang w:val="en-US" w:eastAsia="zh-CN"/>
        </w:rPr>
        <w:t>广州市智能建造与工业化建筑协会</w:t>
      </w:r>
      <w:r>
        <w:rPr>
          <w:rFonts w:ascii="仿宋_GB2312" w:hAnsi="仿宋_GB2312" w:eastAsia="仿宋_GB2312" w:cs="Times New Roman"/>
          <w:b w:val="0"/>
          <w:bCs w:val="0"/>
          <w:sz w:val="32"/>
        </w:rPr>
        <w:t>负责解释。</w:t>
      </w:r>
    </w:p>
    <w:p w14:paraId="09BBBD5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6" w:firstLineChars="200"/>
        <w:jc w:val="both"/>
        <w:textAlignment w:val="auto"/>
      </w:pPr>
    </w:p>
    <w:p w14:paraId="487022F6">
      <w:pPr>
        <w:pStyle w:val="12"/>
        <w:bidi w:val="0"/>
      </w:pPr>
    </w:p>
    <w:sectPr>
      <w:headerReference r:id="rId3" w:type="default"/>
      <w:footerReference r:id="rId4" w:type="default"/>
      <w:pgSz w:w="11905" w:h="16840"/>
      <w:pgMar w:top="1962" w:right="1474" w:bottom="1848" w:left="1587" w:header="851" w:footer="1049" w:gutter="0"/>
      <w:pgNumType w:fmt="decimal"/>
      <w:cols w:space="720" w:num="1"/>
      <w:docGrid w:type="linesAndChars" w:linePitch="592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A522B0-5529-41AB-9552-5D8052C977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1E26E1D-CA22-43C3-AC20-89369F1C433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18153F7-C16E-41DD-A75A-BC50879B2D3A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46CCEA5-E00F-41F0-84C2-C62FC78357EF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30D62">
    <w:pPr>
      <w:spacing w:line="471" w:lineRule="auto"/>
      <w:rPr>
        <w:rFonts w:hint="eastAsia" w:ascii="仿宋_GB2312" w:hAnsi="仿宋_GB2312" w:eastAsia="仿宋_GB2312" w:cs="仿宋_GB2312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466FB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rawingGridHorizontalSpacing w:val="158"/>
  <w:drawingGridVerticalSpacing w:val="296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734EF"/>
    <w:rsid w:val="04D01AC7"/>
    <w:rsid w:val="06C64F4B"/>
    <w:rsid w:val="09003552"/>
    <w:rsid w:val="09BF6180"/>
    <w:rsid w:val="0A2A0BA7"/>
    <w:rsid w:val="0BC40F8D"/>
    <w:rsid w:val="0C870971"/>
    <w:rsid w:val="0CE43EF3"/>
    <w:rsid w:val="0E325057"/>
    <w:rsid w:val="13DC5765"/>
    <w:rsid w:val="157D32B4"/>
    <w:rsid w:val="15946DEF"/>
    <w:rsid w:val="1690430C"/>
    <w:rsid w:val="17693132"/>
    <w:rsid w:val="188776B8"/>
    <w:rsid w:val="1BC65821"/>
    <w:rsid w:val="205819F7"/>
    <w:rsid w:val="21674E89"/>
    <w:rsid w:val="22303FB1"/>
    <w:rsid w:val="22A10230"/>
    <w:rsid w:val="22EC3898"/>
    <w:rsid w:val="23C757EB"/>
    <w:rsid w:val="249922B1"/>
    <w:rsid w:val="25C92E20"/>
    <w:rsid w:val="2BD10EA5"/>
    <w:rsid w:val="2C947D25"/>
    <w:rsid w:val="2DB004CE"/>
    <w:rsid w:val="2FC91524"/>
    <w:rsid w:val="3089479E"/>
    <w:rsid w:val="338F6F93"/>
    <w:rsid w:val="34CC2A80"/>
    <w:rsid w:val="37A30626"/>
    <w:rsid w:val="3A4D6F0E"/>
    <w:rsid w:val="3B410362"/>
    <w:rsid w:val="3C9C632F"/>
    <w:rsid w:val="3CB1422C"/>
    <w:rsid w:val="3DF22EA9"/>
    <w:rsid w:val="3FD60275"/>
    <w:rsid w:val="45387587"/>
    <w:rsid w:val="45EB68D7"/>
    <w:rsid w:val="4607219E"/>
    <w:rsid w:val="47D24458"/>
    <w:rsid w:val="4C0C789D"/>
    <w:rsid w:val="4E2F56C2"/>
    <w:rsid w:val="4E341046"/>
    <w:rsid w:val="4EA826C6"/>
    <w:rsid w:val="4FE57221"/>
    <w:rsid w:val="4FF22C25"/>
    <w:rsid w:val="50950CB1"/>
    <w:rsid w:val="50BA54D9"/>
    <w:rsid w:val="50F4571B"/>
    <w:rsid w:val="51C539C8"/>
    <w:rsid w:val="55950C38"/>
    <w:rsid w:val="596432AA"/>
    <w:rsid w:val="60C0419A"/>
    <w:rsid w:val="63032BD6"/>
    <w:rsid w:val="64043D4C"/>
    <w:rsid w:val="642F6FC8"/>
    <w:rsid w:val="647125BC"/>
    <w:rsid w:val="65F0477F"/>
    <w:rsid w:val="66E46696"/>
    <w:rsid w:val="68E8551C"/>
    <w:rsid w:val="6C197E14"/>
    <w:rsid w:val="71321572"/>
    <w:rsid w:val="71597A76"/>
    <w:rsid w:val="72A75044"/>
    <w:rsid w:val="7649264C"/>
    <w:rsid w:val="76A519F0"/>
    <w:rsid w:val="794C209C"/>
    <w:rsid w:val="798553D8"/>
    <w:rsid w:val="7A8C3DE4"/>
    <w:rsid w:val="7AF24B28"/>
    <w:rsid w:val="7BED11D4"/>
    <w:rsid w:val="7CAD113F"/>
    <w:rsid w:val="7DC612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Times New Roman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qFormat/>
    <w:uiPriority w:val="0"/>
    <w:pPr>
      <w:spacing w:line="560" w:lineRule="exact"/>
      <w:ind w:firstLine="628" w:firstLineChars="200"/>
    </w:pPr>
    <w:rPr>
      <w:rFonts w:ascii="仿宋_GB2312" w:hAnsi="仿宋_GB2312" w:eastAsia="仿宋_GB2312" w:cs="Times New Roman"/>
      <w:spacing w:val="-6"/>
      <w:sz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560" w:lineRule="exact"/>
      <w:jc w:val="center"/>
      <w:outlineLvl w:val="1"/>
    </w:pPr>
    <w:rPr>
      <w:rFonts w:ascii="楷体_GB2312" w:hAnsi="楷体_GB2312" w:eastAsia="楷体_GB2312" w:cs="Times New Roman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章标题"/>
    <w:next w:val="1"/>
    <w:qFormat/>
    <w:uiPriority w:val="0"/>
    <w:pPr>
      <w:widowControl w:val="0"/>
      <w:spacing w:line="720" w:lineRule="exact"/>
      <w:jc w:val="center"/>
      <w:outlineLvl w:val="0"/>
    </w:pPr>
    <w:rPr>
      <w:rFonts w:ascii="黑体" w:hAnsi="黑体" w:eastAsia="黑体" w:cs="仿宋_GB2312"/>
      <w:bCs/>
      <w:spacing w:val="-6"/>
      <w:kern w:val="44"/>
      <w:sz w:val="32"/>
      <w:szCs w:val="44"/>
      <w:lang w:bidi="ar-SA"/>
    </w:rPr>
  </w:style>
  <w:style w:type="character" w:customStyle="1" w:styleId="21">
    <w:name w:val="标题 2 Char"/>
    <w:qFormat/>
    <w:uiPriority w:val="0"/>
    <w:rPr>
      <w:rFonts w:ascii="方正楷体_GB2312" w:hAnsi="方正楷体_GB2312" w:eastAsia="方正楷体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4f672e83-2f94-4d7f-875c-404d2b9fc746</errorID>
      <errorWord>9</errorWord>
      <group>L1_Punc</group>
      <groupName>标点问题</groupName>
      <ability>L2_Punc_CN</ability>
      <abilityName>标点符号问题</abilityName>
      <candidateList>
        <item>（9</item>
      </candidateList>
      <explain/>
      <paraID> E7E2E03</paraID>
      <start>23</start>
      <end>24</end>
      <status>ignored</status>
      <modifiedWord/>
      <trackRevisions>false</trackRevisions>
    </reviewItem>
    <reviewItem>
      <errorID>5b9328fe-f7ed-409f-9a61-4d3222f9b222</errorID>
      <errorWord>所有资料保证</errorWord>
      <group>L1_Word</group>
      <groupName>字词问题</groupName>
      <ability>L2_Typo</ability>
      <abilityName>字词错误</abilityName>
      <candidateList>
        <item>保证所有资料</item>
      </candidateList>
      <explain/>
      <paraID> E7E2E03</paraID>
      <start>67</start>
      <end>73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9d7ec28-f1b2-4a1f-825d-eb3d42e91d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2332</Words>
  <Characters>2383</Characters>
  <TotalTime>1</TotalTime>
  <ScaleCrop>false</ScaleCrop>
  <LinksUpToDate>false</LinksUpToDate>
  <CharactersWithSpaces>2415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2026-08-19T01:27:00Z</dcterms:created>
  <dc:creator>Apache POI</dc:creator>
  <cp:lastModifiedBy>Y。</cp:lastModifiedBy>
  <cp:lastPrinted>2026-09-04T05:44:00Z</cp:lastPrinted>
  <dcterms:modified xsi:type="dcterms:W3CDTF">2026-09-08T06:33:38Z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{"Label":"1","ContentProducer":"001191110102MACQD9K64010000","ProduceID":"7675548175776631755","ReservedCode1":"","ContentPropagator":"","PropagateID":"","ReservedCode2":""}</vt:lpwstr>
  </property>
  <property fmtid="{D5CDD505-2E9C-101B-9397-08002B2CF9AE}" pid="3" name="KSOTemplateDocerSaveRecord">
    <vt:lpwstr>eyJoZGlkIjoiMDI4NDY5YjkxODM1NDk0NmQ5MDFlOWQ5MTdhMTZkNjYiLCJ1c2VySWQiOiIzMjcwMDI1OTAifQ==</vt:lpwstr>
  </property>
  <property fmtid="{D5CDD505-2E9C-101B-9397-08002B2CF9AE}" pid="4" name="KSOProductBuildVer">
    <vt:lpwstr>2052-12.1.0.28505</vt:lpwstr>
  </property>
  <property fmtid="{D5CDD505-2E9C-101B-9397-08002B2CF9AE}" pid="5" name="ICV">
    <vt:lpwstr>1489F345F64B4659B4C15C0511C32CFD_13</vt:lpwstr>
  </property>
</Properties>
</file>