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7798F">
      <w:pPr>
        <w:pStyle w:val="62"/>
        <w:rPr>
          <w:color w:val="000000" w:themeColor="text1"/>
          <w14:textFill>
            <w14:solidFill>
              <w14:schemeClr w14:val="tx1"/>
            </w14:solidFill>
          </w14:textFill>
        </w:rPr>
      </w:pPr>
      <w:bookmarkStart w:id="0" w:name="_Toc417580835"/>
      <w:bookmarkStart w:id="1" w:name="_Toc429469174"/>
      <w:bookmarkStart w:id="2" w:name="_Toc452029035"/>
      <w:bookmarkStart w:id="3" w:name="_Toc493608145"/>
      <w:bookmarkStart w:id="4" w:name="_Toc417572928"/>
      <w:bookmarkStart w:id="5" w:name="_Toc417572979"/>
      <w:bookmarkStart w:id="6" w:name="_Toc385956582"/>
    </w:p>
    <w:p w14:paraId="7518A254">
      <w:pPr>
        <w:pStyle w:val="62"/>
        <w:rPr>
          <w:color w:val="000000" w:themeColor="text1"/>
          <w14:textFill>
            <w14:solidFill>
              <w14:schemeClr w14:val="tx1"/>
            </w14:solidFill>
          </w14:textFill>
        </w:rPr>
      </w:pPr>
    </w:p>
    <w:p w14:paraId="1A3B2F8E">
      <w:pPr>
        <w:pStyle w:val="62"/>
        <w:rPr>
          <w:color w:val="000000" w:themeColor="text1"/>
          <w14:textFill>
            <w14:solidFill>
              <w14:schemeClr w14:val="tx1"/>
            </w14:solidFill>
          </w14:textFill>
        </w:rPr>
      </w:pPr>
    </w:p>
    <w:p w14:paraId="2994369F">
      <w:pPr>
        <w:pStyle w:val="62"/>
        <w:rPr>
          <w:rFonts w:hint="eastAsia" w:ascii="黑体" w:hAnsi="黑体" w:eastAsia="黑体" w:cs="黑体"/>
          <w:b w:val="0"/>
          <w:bCs/>
          <w:color w:val="000000" w:themeColor="text1"/>
          <w:sz w:val="52"/>
          <w:szCs w:val="52"/>
          <w14:textFill>
            <w14:solidFill>
              <w14:schemeClr w14:val="tx1"/>
            </w14:solidFill>
          </w14:textFill>
        </w:rPr>
      </w:pPr>
      <w:r>
        <w:rPr>
          <w:rFonts w:hint="eastAsia" w:ascii="黑体" w:hAnsi="黑体" w:eastAsia="黑体" w:cs="黑体"/>
          <w:b w:val="0"/>
          <w:bCs/>
          <w:color w:val="000000" w:themeColor="text1"/>
          <w:sz w:val="52"/>
          <w:szCs w:val="52"/>
          <w14:textFill>
            <w14:solidFill>
              <w14:schemeClr w14:val="tx1"/>
            </w14:solidFill>
          </w14:textFill>
        </w:rPr>
        <w:t>广州市高层建筑施工作业集成平台</w:t>
      </w:r>
    </w:p>
    <w:p w14:paraId="0A791225">
      <w:pPr>
        <w:pStyle w:val="62"/>
        <w:rPr>
          <w:rFonts w:hint="default" w:ascii="黑体" w:hAnsi="黑体" w:eastAsia="黑体" w:cs="黑体"/>
          <w:b w:val="0"/>
          <w:bCs/>
          <w:color w:val="000000" w:themeColor="text1"/>
          <w:sz w:val="52"/>
          <w:szCs w:val="52"/>
          <w:lang w:val="en-US" w:eastAsia="zh-CN"/>
          <w14:textFill>
            <w14:solidFill>
              <w14:schemeClr w14:val="tx1"/>
            </w14:solidFill>
          </w14:textFill>
        </w:rPr>
      </w:pPr>
      <w:r>
        <w:rPr>
          <w:rFonts w:hint="eastAsia" w:ascii="黑体" w:hAnsi="黑体" w:eastAsia="黑体" w:cs="黑体"/>
          <w:b w:val="0"/>
          <w:bCs/>
          <w:color w:val="000000" w:themeColor="text1"/>
          <w:sz w:val="52"/>
          <w:szCs w:val="52"/>
          <w14:textFill>
            <w14:solidFill>
              <w14:schemeClr w14:val="tx1"/>
            </w14:solidFill>
          </w14:textFill>
        </w:rPr>
        <w:t>技术指南</w:t>
      </w:r>
      <w:r>
        <w:rPr>
          <w:rFonts w:hint="eastAsia" w:ascii="黑体" w:hAnsi="黑体" w:eastAsia="黑体" w:cs="黑体"/>
          <w:b w:val="0"/>
          <w:bCs/>
          <w:color w:val="000000" w:themeColor="text1"/>
          <w:sz w:val="52"/>
          <w:szCs w:val="52"/>
          <w:lang w:eastAsia="zh-CN"/>
          <w14:textFill>
            <w14:solidFill>
              <w14:schemeClr w14:val="tx1"/>
            </w14:solidFill>
          </w14:textFill>
        </w:rPr>
        <w:t>（</w:t>
      </w:r>
      <w:r>
        <w:rPr>
          <w:rFonts w:hint="eastAsia" w:ascii="黑体" w:hAnsi="黑体" w:eastAsia="黑体" w:cs="黑体"/>
          <w:b w:val="0"/>
          <w:bCs/>
          <w:color w:val="000000" w:themeColor="text1"/>
          <w:sz w:val="52"/>
          <w:szCs w:val="52"/>
          <w:lang w:val="en-US" w:eastAsia="zh-CN"/>
          <w14:textFill>
            <w14:solidFill>
              <w14:schemeClr w14:val="tx1"/>
            </w14:solidFill>
          </w14:textFill>
        </w:rPr>
        <w:t>征求意见稿）</w:t>
      </w:r>
    </w:p>
    <w:p w14:paraId="7F689E7A">
      <w:pPr>
        <w:ind w:firstLine="480"/>
        <w:rPr>
          <w:color w:val="000000" w:themeColor="text1"/>
          <w14:textFill>
            <w14:solidFill>
              <w14:schemeClr w14:val="tx1"/>
            </w14:solidFill>
          </w14:textFill>
        </w:rPr>
      </w:pPr>
    </w:p>
    <w:p w14:paraId="2985D5A2">
      <w:pPr>
        <w:ind w:firstLine="480"/>
        <w:rPr>
          <w:color w:val="000000" w:themeColor="text1"/>
          <w14:textFill>
            <w14:solidFill>
              <w14:schemeClr w14:val="tx1"/>
            </w14:solidFill>
          </w14:textFill>
        </w:rPr>
      </w:pPr>
    </w:p>
    <w:p w14:paraId="1C1BAD88">
      <w:pPr>
        <w:ind w:firstLine="480"/>
        <w:rPr>
          <w:color w:val="000000" w:themeColor="text1"/>
          <w14:textFill>
            <w14:solidFill>
              <w14:schemeClr w14:val="tx1"/>
            </w14:solidFill>
          </w14:textFill>
        </w:rPr>
      </w:pPr>
    </w:p>
    <w:p w14:paraId="35A051AA">
      <w:pPr>
        <w:ind w:firstLine="480"/>
        <w:rPr>
          <w:color w:val="000000" w:themeColor="text1"/>
          <w14:textFill>
            <w14:solidFill>
              <w14:schemeClr w14:val="tx1"/>
            </w14:solidFill>
          </w14:textFill>
        </w:rPr>
      </w:pPr>
    </w:p>
    <w:p w14:paraId="422EFCF6">
      <w:pPr>
        <w:ind w:firstLine="480"/>
        <w:rPr>
          <w:color w:val="000000" w:themeColor="text1"/>
          <w14:textFill>
            <w14:solidFill>
              <w14:schemeClr w14:val="tx1"/>
            </w14:solidFill>
          </w14:textFill>
        </w:rPr>
      </w:pPr>
    </w:p>
    <w:p w14:paraId="44A4A35F">
      <w:pPr>
        <w:ind w:firstLine="480"/>
        <w:rPr>
          <w:color w:val="000000" w:themeColor="text1"/>
          <w14:textFill>
            <w14:solidFill>
              <w14:schemeClr w14:val="tx1"/>
            </w14:solidFill>
          </w14:textFill>
        </w:rPr>
      </w:pPr>
    </w:p>
    <w:p w14:paraId="6EBB268D">
      <w:pPr>
        <w:ind w:firstLine="480"/>
        <w:rPr>
          <w:color w:val="000000" w:themeColor="text1"/>
          <w14:textFill>
            <w14:solidFill>
              <w14:schemeClr w14:val="tx1"/>
            </w14:solidFill>
          </w14:textFill>
        </w:rPr>
      </w:pPr>
    </w:p>
    <w:p w14:paraId="5C3C4250">
      <w:pPr>
        <w:ind w:firstLine="480"/>
        <w:rPr>
          <w:color w:val="000000" w:themeColor="text1"/>
          <w14:textFill>
            <w14:solidFill>
              <w14:schemeClr w14:val="tx1"/>
            </w14:solidFill>
          </w14:textFill>
        </w:rPr>
      </w:pPr>
    </w:p>
    <w:p w14:paraId="72E97C3F">
      <w:pPr>
        <w:ind w:firstLine="480"/>
        <w:rPr>
          <w:color w:val="000000" w:themeColor="text1"/>
          <w14:textFill>
            <w14:solidFill>
              <w14:schemeClr w14:val="tx1"/>
            </w14:solidFill>
          </w14:textFill>
        </w:rPr>
      </w:pPr>
    </w:p>
    <w:p w14:paraId="2BD499CD">
      <w:pPr>
        <w:ind w:firstLine="480"/>
        <w:rPr>
          <w:color w:val="000000" w:themeColor="text1"/>
          <w14:textFill>
            <w14:solidFill>
              <w14:schemeClr w14:val="tx1"/>
            </w14:solidFill>
          </w14:textFill>
        </w:rPr>
      </w:pPr>
    </w:p>
    <w:p w14:paraId="7F969C96">
      <w:pPr>
        <w:ind w:firstLine="480"/>
        <w:rPr>
          <w:color w:val="000000" w:themeColor="text1"/>
          <w14:textFill>
            <w14:solidFill>
              <w14:schemeClr w14:val="tx1"/>
            </w14:solidFill>
          </w14:textFill>
        </w:rPr>
      </w:pPr>
    </w:p>
    <w:tbl>
      <w:tblPr>
        <w:tblStyle w:val="2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6"/>
        <w:gridCol w:w="4538"/>
      </w:tblGrid>
      <w:tr w14:paraId="360A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16" w:type="dxa"/>
          </w:tcPr>
          <w:p w14:paraId="687F5610">
            <w:pPr>
              <w:ind w:firstLine="0" w:firstLineChars="0"/>
              <w:jc w:val="center"/>
              <w:rPr>
                <w:rFonts w:cs="Times New Roman"/>
                <w:color w:val="000000" w:themeColor="text1"/>
                <w14:textFill>
                  <w14:solidFill>
                    <w14:schemeClr w14:val="tx1"/>
                  </w14:solidFill>
                </w14:textFill>
              </w:rPr>
            </w:pPr>
            <w:r>
              <w:rPr>
                <w:rFonts w:hint="eastAsia" w:ascii="黑体" w:hAnsi="黑体" w:eastAsia="黑体" w:cs="黑体"/>
                <w:b w:val="0"/>
                <w:bCs w:val="0"/>
                <w:color w:val="000000" w:themeColor="text1"/>
                <w:lang w:eastAsia="zh-CN"/>
                <w14:textFill>
                  <w14:solidFill>
                    <w14:schemeClr w14:val="tx1"/>
                  </w14:solidFill>
                </w14:textFill>
              </w:rPr>
              <w:t>发布</w:t>
            </w:r>
            <w:r>
              <w:rPr>
                <w:rFonts w:hint="eastAsia" w:ascii="黑体" w:hAnsi="黑体" w:eastAsia="黑体" w:cs="黑体"/>
                <w:b w:val="0"/>
                <w:bCs w:val="0"/>
                <w:color w:val="000000" w:themeColor="text1"/>
                <w14:textFill>
                  <w14:solidFill>
                    <w14:schemeClr w14:val="tx1"/>
                  </w14:solidFill>
                </w14:textFill>
              </w:rPr>
              <w:t>单位：</w:t>
            </w:r>
          </w:p>
        </w:tc>
        <w:tc>
          <w:tcPr>
            <w:tcW w:w="4538" w:type="dxa"/>
          </w:tcPr>
          <w:p w14:paraId="24636696">
            <w:pPr>
              <w:ind w:firstLine="0" w:firstLineChars="0"/>
              <w:jc w:val="left"/>
              <w:rPr>
                <w:rFonts w:hint="eastAsia" w:ascii="黑体" w:hAnsi="黑体" w:eastAsia="黑体" w:cs="黑体"/>
                <w:color w:val="000000" w:themeColor="text1"/>
                <w:lang w:eastAsia="zh-CN"/>
                <w14:textFill>
                  <w14:solidFill>
                    <w14:schemeClr w14:val="tx1"/>
                  </w14:solidFill>
                </w14:textFill>
              </w:rPr>
            </w:pPr>
            <w:r>
              <w:rPr>
                <w:rFonts w:hint="eastAsia" w:ascii="黑体" w:hAnsi="黑体" w:eastAsia="黑体" w:cs="黑体"/>
                <w:color w:val="000000" w:themeColor="text1"/>
                <w:lang w:eastAsia="zh-CN"/>
                <w14:textFill>
                  <w14:solidFill>
                    <w14:schemeClr w14:val="tx1"/>
                  </w14:solidFill>
                </w14:textFill>
              </w:rPr>
              <w:t>广州市建筑业联合会</w:t>
            </w:r>
          </w:p>
        </w:tc>
      </w:tr>
      <w:tr w14:paraId="4C681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16" w:type="dxa"/>
          </w:tcPr>
          <w:p w14:paraId="6FF28A7A">
            <w:pPr>
              <w:ind w:firstLine="0" w:firstLineChars="0"/>
              <w:jc w:val="center"/>
              <w:rPr>
                <w:rFonts w:cs="Times New Roman"/>
                <w:color w:val="000000" w:themeColor="text1"/>
                <w14:textFill>
                  <w14:solidFill>
                    <w14:schemeClr w14:val="tx1"/>
                  </w14:solidFill>
                </w14:textFill>
              </w:rPr>
            </w:pPr>
          </w:p>
        </w:tc>
        <w:tc>
          <w:tcPr>
            <w:tcW w:w="4538" w:type="dxa"/>
          </w:tcPr>
          <w:p w14:paraId="71358263">
            <w:pPr>
              <w:ind w:firstLine="0" w:firstLineChars="0"/>
              <w:jc w:val="left"/>
              <w:rPr>
                <w:rFonts w:hint="eastAsia" w:ascii="黑体" w:hAnsi="黑体" w:eastAsia="黑体" w:cs="黑体"/>
                <w:color w:val="000000" w:themeColor="text1"/>
                <w:lang w:eastAsia="zh-CN"/>
                <w14:textFill>
                  <w14:solidFill>
                    <w14:schemeClr w14:val="tx1"/>
                  </w14:solidFill>
                </w14:textFill>
              </w:rPr>
            </w:pPr>
            <w:r>
              <w:rPr>
                <w:rFonts w:hint="eastAsia" w:ascii="黑体" w:hAnsi="黑体" w:eastAsia="黑体" w:cs="黑体"/>
                <w:color w:val="000000" w:themeColor="text1"/>
                <w:lang w:eastAsia="zh-CN"/>
                <w14:textFill>
                  <w14:solidFill>
                    <w14:schemeClr w14:val="tx1"/>
                  </w14:solidFill>
                </w14:textFill>
              </w:rPr>
              <w:t>广州市智能建造与工业化建筑协会</w:t>
            </w:r>
          </w:p>
        </w:tc>
      </w:tr>
      <w:tr w14:paraId="1C2CB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16" w:type="dxa"/>
          </w:tcPr>
          <w:p w14:paraId="22D2B8E5">
            <w:pPr>
              <w:ind w:firstLine="0" w:firstLineChars="0"/>
              <w:jc w:val="center"/>
              <w:rPr>
                <w:rFonts w:cs="Times New Roman"/>
                <w:color w:val="000000" w:themeColor="text1"/>
                <w14:textFill>
                  <w14:solidFill>
                    <w14:schemeClr w14:val="tx1"/>
                  </w14:solidFill>
                </w14:textFill>
              </w:rPr>
            </w:pPr>
          </w:p>
        </w:tc>
        <w:tc>
          <w:tcPr>
            <w:tcW w:w="4538" w:type="dxa"/>
          </w:tcPr>
          <w:p w14:paraId="6A73C098">
            <w:pPr>
              <w:ind w:firstLine="0" w:firstLineChars="0"/>
              <w:jc w:val="left"/>
              <w:rPr>
                <w:rFonts w:cs="Times New Roman"/>
                <w:color w:val="000000" w:themeColor="text1"/>
                <w14:textFill>
                  <w14:solidFill>
                    <w14:schemeClr w14:val="tx1"/>
                  </w14:solidFill>
                </w14:textFill>
              </w:rPr>
            </w:pPr>
          </w:p>
        </w:tc>
      </w:tr>
      <w:tr w14:paraId="6105D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16" w:type="dxa"/>
          </w:tcPr>
          <w:p w14:paraId="31B742C8">
            <w:pPr>
              <w:ind w:firstLine="0" w:firstLineChars="0"/>
              <w:jc w:val="center"/>
              <w:rPr>
                <w:rFonts w:cs="Times New Roman"/>
                <w:color w:val="000000" w:themeColor="text1"/>
                <w14:textFill>
                  <w14:solidFill>
                    <w14:schemeClr w14:val="tx1"/>
                  </w14:solidFill>
                </w14:textFill>
              </w:rPr>
            </w:pPr>
          </w:p>
        </w:tc>
        <w:tc>
          <w:tcPr>
            <w:tcW w:w="4538" w:type="dxa"/>
          </w:tcPr>
          <w:p w14:paraId="601FD1B6">
            <w:pPr>
              <w:ind w:firstLine="0" w:firstLineChars="0"/>
              <w:jc w:val="left"/>
              <w:rPr>
                <w:rFonts w:cs="Times New Roman"/>
                <w:color w:val="000000" w:themeColor="text1"/>
                <w14:textFill>
                  <w14:solidFill>
                    <w14:schemeClr w14:val="tx1"/>
                  </w14:solidFill>
                </w14:textFill>
              </w:rPr>
            </w:pPr>
          </w:p>
        </w:tc>
      </w:tr>
      <w:tr w14:paraId="621D1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16" w:type="dxa"/>
          </w:tcPr>
          <w:p w14:paraId="74EEC491">
            <w:pPr>
              <w:ind w:firstLine="0" w:firstLineChars="0"/>
              <w:jc w:val="center"/>
              <w:rPr>
                <w:rFonts w:cs="Times New Roman"/>
                <w:color w:val="000000" w:themeColor="text1"/>
                <w14:textFill>
                  <w14:solidFill>
                    <w14:schemeClr w14:val="tx1"/>
                  </w14:solidFill>
                </w14:textFill>
              </w:rPr>
            </w:pPr>
          </w:p>
        </w:tc>
        <w:tc>
          <w:tcPr>
            <w:tcW w:w="4538" w:type="dxa"/>
          </w:tcPr>
          <w:p w14:paraId="13F8212D">
            <w:pPr>
              <w:ind w:firstLine="0" w:firstLineChars="0"/>
              <w:jc w:val="left"/>
              <w:rPr>
                <w:rFonts w:cs="Times New Roman"/>
                <w:color w:val="000000" w:themeColor="text1"/>
                <w14:textFill>
                  <w14:solidFill>
                    <w14:schemeClr w14:val="tx1"/>
                  </w14:solidFill>
                </w14:textFill>
              </w:rPr>
            </w:pPr>
          </w:p>
        </w:tc>
      </w:tr>
      <w:tr w14:paraId="225A8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16" w:type="dxa"/>
          </w:tcPr>
          <w:p w14:paraId="140D853A">
            <w:pPr>
              <w:ind w:firstLine="0" w:firstLineChars="0"/>
              <w:jc w:val="center"/>
              <w:rPr>
                <w:rFonts w:cs="Times New Roman"/>
                <w:color w:val="000000" w:themeColor="text1"/>
                <w14:textFill>
                  <w14:solidFill>
                    <w14:schemeClr w14:val="tx1"/>
                  </w14:solidFill>
                </w14:textFill>
              </w:rPr>
            </w:pPr>
          </w:p>
        </w:tc>
        <w:tc>
          <w:tcPr>
            <w:tcW w:w="4538" w:type="dxa"/>
          </w:tcPr>
          <w:p w14:paraId="2CC230A2">
            <w:pPr>
              <w:ind w:firstLine="0" w:firstLineChars="0"/>
              <w:jc w:val="left"/>
              <w:rPr>
                <w:rFonts w:cs="Times New Roman"/>
                <w:color w:val="000000" w:themeColor="text1"/>
                <w14:textFill>
                  <w14:solidFill>
                    <w14:schemeClr w14:val="tx1"/>
                  </w14:solidFill>
                </w14:textFill>
              </w:rPr>
            </w:pPr>
          </w:p>
        </w:tc>
      </w:tr>
    </w:tbl>
    <w:p w14:paraId="7DE5F687">
      <w:pPr>
        <w:tabs>
          <w:tab w:val="left" w:pos="266"/>
        </w:tabs>
        <w:bidi w:val="0"/>
        <w:jc w:val="center"/>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2026年</w:t>
      </w:r>
      <w:r>
        <w:rPr>
          <w:rFonts w:hint="eastAsia" w:ascii="黑体" w:hAnsi="黑体" w:eastAsia="黑体" w:cs="黑体"/>
          <w:color w:val="000000" w:themeColor="text1"/>
          <w:lang w:val="en-US" w:eastAsia="zh-CN"/>
          <w14:textFill>
            <w14:solidFill>
              <w14:schemeClr w14:val="tx1"/>
            </w14:solidFill>
          </w14:textFill>
        </w:rPr>
        <w:t>9</w:t>
      </w:r>
      <w:r>
        <w:rPr>
          <w:rFonts w:hint="eastAsia" w:ascii="黑体" w:hAnsi="黑体" w:eastAsia="黑体" w:cs="黑体"/>
          <w:color w:val="000000" w:themeColor="text1"/>
          <w14:textFill>
            <w14:solidFill>
              <w14:schemeClr w14:val="tx1"/>
            </w14:solidFill>
          </w14:textFill>
        </w:rPr>
        <w:t>月</w:t>
      </w:r>
    </w:p>
    <w:p w14:paraId="1E4E429F">
      <w:pPr>
        <w:tabs>
          <w:tab w:val="left" w:pos="266"/>
        </w:tabs>
        <w:bidi w:val="0"/>
        <w:jc w:val="center"/>
        <w:rPr>
          <w:rFonts w:hint="eastAsia"/>
          <w:color w:val="000000" w:themeColor="text1"/>
          <w14:textFill>
            <w14:solidFill>
              <w14:schemeClr w14:val="tx1"/>
            </w14:solidFill>
          </w14:textFill>
        </w:rPr>
      </w:pPr>
    </w:p>
    <w:p w14:paraId="7969138E">
      <w:pPr>
        <w:tabs>
          <w:tab w:val="left" w:pos="266"/>
        </w:tabs>
        <w:bidi w:val="0"/>
        <w:jc w:val="center"/>
        <w:rPr>
          <w:rFonts w:hint="eastAsia"/>
          <w:color w:val="000000" w:themeColor="text1"/>
          <w14:textFill>
            <w14:solidFill>
              <w14:schemeClr w14:val="tx1"/>
            </w14:solidFill>
          </w14:textFill>
        </w:rPr>
      </w:pPr>
    </w:p>
    <w:p w14:paraId="78A63FD5">
      <w:pPr>
        <w:tabs>
          <w:tab w:val="left" w:pos="266"/>
        </w:tabs>
        <w:bidi w:val="0"/>
        <w:jc w:val="center"/>
        <w:rPr>
          <w:rFonts w:hint="eastAsia"/>
          <w:color w:val="000000" w:themeColor="text1"/>
          <w14:textFill>
            <w14:solidFill>
              <w14:schemeClr w14:val="tx1"/>
            </w14:solidFill>
          </w14:textFill>
        </w:rPr>
      </w:pPr>
    </w:p>
    <w:p w14:paraId="286E8E93">
      <w:pPr>
        <w:tabs>
          <w:tab w:val="left" w:pos="266"/>
        </w:tabs>
        <w:bidi w:val="0"/>
        <w:jc w:val="center"/>
        <w:rPr>
          <w:rFonts w:hint="eastAsia"/>
          <w:color w:val="000000" w:themeColor="text1"/>
          <w14:textFill>
            <w14:solidFill>
              <w14:schemeClr w14:val="tx1"/>
            </w14:solidFill>
          </w14:textFill>
        </w:rPr>
      </w:pPr>
    </w:p>
    <w:p w14:paraId="2D39A464">
      <w:pPr>
        <w:pStyle w:val="62"/>
        <w:rPr>
          <w:rFonts w:hint="eastAsia"/>
          <w:color w:val="000000" w:themeColor="text1"/>
          <w14:textFill>
            <w14:solidFill>
              <w14:schemeClr w14:val="tx1"/>
            </w14:solidFill>
          </w14:textFill>
        </w:rPr>
        <w:sectPr>
          <w:footerReference r:id="rId5" w:type="default"/>
          <w:pgSz w:w="11906" w:h="16838"/>
          <w:pgMar w:top="1247" w:right="1106" w:bottom="1089" w:left="1797" w:header="851" w:footer="850" w:gutter="0"/>
          <w:cols w:space="425" w:num="1"/>
          <w:docGrid w:type="lines" w:linePitch="312" w:charSpace="0"/>
        </w:sectPr>
      </w:pPr>
    </w:p>
    <w:p w14:paraId="4BE95406">
      <w:pPr>
        <w:pStyle w:val="62"/>
        <w:rPr>
          <w:color w:val="000000" w:themeColor="text1"/>
          <w14:textFill>
            <w14:solidFill>
              <w14:schemeClr w14:val="tx1"/>
            </w14:solidFill>
          </w14:textFill>
        </w:rPr>
      </w:pPr>
      <w:bookmarkStart w:id="7" w:name="OLE_LINK2"/>
      <w:r>
        <w:rPr>
          <w:rFonts w:hint="eastAsia"/>
          <w:color w:val="000000" w:themeColor="text1"/>
          <w14:textFill>
            <w14:solidFill>
              <w14:schemeClr w14:val="tx1"/>
            </w14:solidFill>
          </w14:textFill>
        </w:rPr>
        <w:t>前 言</w:t>
      </w:r>
    </w:p>
    <w:p w14:paraId="5DFB71CE">
      <w:pPr>
        <w:snapToGrid/>
        <w:spacing w:before="0"/>
        <w:ind w:firstLine="480" w:firstLineChars="200"/>
        <w:jc w:val="both"/>
        <w:rPr>
          <w:rFonts w:ascii="Times New Roman" w:hAnsi="Times New Roman" w:eastAsia="宋体" w:cs="Times New Roman"/>
          <w:color w:val="000000" w:themeColor="text1"/>
          <w14:textFill>
            <w14:solidFill>
              <w14:schemeClr w14:val="tx1"/>
            </w14:solidFill>
          </w14:textFill>
          <w14:ligatures w14:val="none"/>
        </w:rPr>
      </w:pPr>
      <w:r>
        <w:rPr>
          <w:rFonts w:hint="eastAsia" w:ascii="Times New Roman" w:hAnsi="Times New Roman" w:eastAsia="宋体" w:cs="Times New Roman"/>
          <w:color w:val="000000" w:themeColor="text1"/>
          <w14:textFill>
            <w14:solidFill>
              <w14:schemeClr w14:val="tx1"/>
            </w14:solidFill>
          </w14:textFill>
          <w14:ligatures w14:val="none"/>
        </w:rPr>
        <w:t>为深入贯彻落实国家、省市关于智能建造与建筑工业化协同发展的工作要求，紧扣全市现代化产业体系建设战略部署，落实“十五五”</w:t>
      </w:r>
      <w:r>
        <w:rPr>
          <w:rFonts w:hint="eastAsia" w:cs="Times New Roman"/>
          <w:color w:val="000000" w:themeColor="text1"/>
          <w:lang w:val="en-US" w:eastAsia="zh-CN"/>
          <w14:textFill>
            <w14:solidFill>
              <w14:schemeClr w14:val="tx1"/>
            </w14:solidFill>
          </w14:textFill>
          <w14:ligatures w14:val="none"/>
        </w:rPr>
        <w:t>时期</w:t>
      </w:r>
      <w:r>
        <w:rPr>
          <w:rFonts w:hint="eastAsia" w:ascii="Times New Roman" w:hAnsi="Times New Roman" w:eastAsia="宋体" w:cs="Times New Roman"/>
          <w:color w:val="000000" w:themeColor="text1"/>
          <w14:textFill>
            <w14:solidFill>
              <w14:schemeClr w14:val="tx1"/>
            </w14:solidFill>
          </w14:textFill>
          <w14:ligatures w14:val="none"/>
        </w:rPr>
        <w:t>住建领域重点工作安排，根据住建部《智能建造技术导则（试行）》（建办市〔2025〕14号）、《广州市大力发展智能建造与工业化建筑加快推进建筑产业现代化的实施意见》（穗建技〔2025〕1246号）、《广州市智能建造技术清单（2.0版）》（穗建筑〔2025〕1137号）等政策文件要求，在</w:t>
      </w:r>
      <w:r>
        <w:rPr>
          <w:rFonts w:hint="eastAsia" w:cs="Times New Roman"/>
          <w:color w:val="000000" w:themeColor="text1"/>
          <w:lang w:val="en-US" w:eastAsia="zh-CN"/>
          <w14:textFill>
            <w14:solidFill>
              <w14:schemeClr w14:val="tx1"/>
            </w14:solidFill>
          </w14:textFill>
          <w14:ligatures w14:val="none"/>
        </w:rPr>
        <w:t>广州市推广应用</w:t>
      </w:r>
      <w:r>
        <w:rPr>
          <w:rFonts w:hint="eastAsia" w:ascii="Times New Roman" w:hAnsi="Times New Roman" w:eastAsia="宋体" w:cs="Times New Roman"/>
          <w:color w:val="000000" w:themeColor="text1"/>
          <w14:textFill>
            <w14:solidFill>
              <w14:schemeClr w14:val="tx1"/>
            </w14:solidFill>
          </w14:textFill>
          <w14:ligatures w14:val="none"/>
        </w:rPr>
        <w:t>高层建筑施工作业集成平台实施经验基础上，并结合广州市智能建造水平实际情况，在广泛征求意见的基础上，编制了本指南。</w:t>
      </w:r>
    </w:p>
    <w:p w14:paraId="10FB594A">
      <w:pPr>
        <w:snapToGrid/>
        <w:spacing w:before="0"/>
        <w:ind w:firstLine="480" w:firstLineChars="200"/>
        <w:jc w:val="both"/>
        <w:rPr>
          <w:rFonts w:ascii="Times New Roman" w:hAnsi="Times New Roman" w:eastAsia="宋体" w:cs="Times New Roman"/>
          <w:color w:val="000000" w:themeColor="text1"/>
          <w14:textFill>
            <w14:solidFill>
              <w14:schemeClr w14:val="tx1"/>
            </w14:solidFill>
          </w14:textFill>
          <w14:ligatures w14:val="none"/>
        </w:rPr>
      </w:pPr>
      <w:r>
        <w:rPr>
          <w:rFonts w:hint="eastAsia" w:ascii="Times New Roman" w:hAnsi="Times New Roman" w:eastAsia="宋体" w:cs="Times New Roman"/>
          <w:color w:val="000000" w:themeColor="text1"/>
          <w14:textFill>
            <w14:solidFill>
              <w14:schemeClr w14:val="tx1"/>
            </w14:solidFill>
          </w14:textFill>
          <w14:ligatures w14:val="none"/>
        </w:rPr>
        <w:t>本指南的主要内容包括：第1章 总则；第2章 术语</w:t>
      </w:r>
      <w:r>
        <w:rPr>
          <w:rFonts w:hint="eastAsia" w:cs="Times New Roman"/>
          <w:color w:val="000000" w:themeColor="text1"/>
          <w:lang w:val="en-US" w:eastAsia="zh-CN"/>
          <w14:textFill>
            <w14:solidFill>
              <w14:schemeClr w14:val="tx1"/>
            </w14:solidFill>
          </w14:textFill>
          <w14:ligatures w14:val="none"/>
        </w:rPr>
        <w:t>和符号</w:t>
      </w:r>
      <w:r>
        <w:rPr>
          <w:rFonts w:hint="eastAsia" w:ascii="Times New Roman" w:hAnsi="Times New Roman" w:eastAsia="宋体" w:cs="Times New Roman"/>
          <w:color w:val="000000" w:themeColor="text1"/>
          <w14:textFill>
            <w14:solidFill>
              <w14:schemeClr w14:val="tx1"/>
            </w14:solidFill>
          </w14:textFill>
          <w14:ligatures w14:val="none"/>
        </w:rPr>
        <w:t xml:space="preserve">；第3章 </w:t>
      </w:r>
      <w:r>
        <w:rPr>
          <w:rFonts w:hint="eastAsia" w:cs="Times New Roman"/>
          <w:color w:val="000000" w:themeColor="text1"/>
          <w:lang w:val="en-US" w:eastAsia="zh-CN"/>
          <w14:textFill>
            <w14:solidFill>
              <w14:schemeClr w14:val="tx1"/>
            </w14:solidFill>
          </w14:textFill>
          <w14:ligatures w14:val="none"/>
        </w:rPr>
        <w:t>基本规定</w:t>
      </w:r>
      <w:r>
        <w:rPr>
          <w:rFonts w:hint="eastAsia" w:ascii="Times New Roman" w:hAnsi="Times New Roman" w:eastAsia="宋体" w:cs="Times New Roman"/>
          <w:color w:val="000000" w:themeColor="text1"/>
          <w:lang w:eastAsia="zh-CN"/>
          <w14:textFill>
            <w14:solidFill>
              <w14:schemeClr w14:val="tx1"/>
            </w14:solidFill>
          </w14:textFill>
          <w14:ligatures w14:val="none"/>
        </w:rPr>
        <w:t>，</w:t>
      </w:r>
      <w:r>
        <w:rPr>
          <w:rFonts w:hint="eastAsia" w:ascii="Times New Roman" w:hAnsi="Times New Roman" w:eastAsia="宋体" w:cs="Times New Roman"/>
          <w:color w:val="000000" w:themeColor="text1"/>
          <w14:textFill>
            <w14:solidFill>
              <w14:schemeClr w14:val="tx1"/>
            </w14:solidFill>
          </w14:textFill>
          <w14:ligatures w14:val="none"/>
        </w:rPr>
        <w:t xml:space="preserve">第4章 </w:t>
      </w:r>
      <w:r>
        <w:rPr>
          <w:rFonts w:hint="eastAsia" w:cs="Times New Roman"/>
          <w:color w:val="000000" w:themeColor="text1"/>
          <w:lang w:val="en-US" w:eastAsia="zh-CN"/>
          <w14:textFill>
            <w14:solidFill>
              <w14:schemeClr w14:val="tx1"/>
            </w14:solidFill>
          </w14:textFill>
          <w14:ligatures w14:val="none"/>
        </w:rPr>
        <w:t>材料</w:t>
      </w:r>
      <w:r>
        <w:rPr>
          <w:rFonts w:hint="eastAsia" w:ascii="Times New Roman" w:hAnsi="Times New Roman" w:eastAsia="宋体" w:cs="Times New Roman"/>
          <w:color w:val="000000" w:themeColor="text1"/>
          <w14:textFill>
            <w14:solidFill>
              <w14:schemeClr w14:val="tx1"/>
            </w14:solidFill>
          </w14:textFill>
          <w14:ligatures w14:val="none"/>
        </w:rPr>
        <w:t xml:space="preserve">；第5章 </w:t>
      </w:r>
      <w:r>
        <w:rPr>
          <w:rFonts w:hint="eastAsia" w:cs="Times New Roman"/>
          <w:color w:val="000000" w:themeColor="text1"/>
          <w:lang w:val="en-US" w:eastAsia="zh-CN"/>
          <w14:textFill>
            <w14:solidFill>
              <w14:schemeClr w14:val="tx1"/>
            </w14:solidFill>
          </w14:textFill>
          <w14:ligatures w14:val="none"/>
        </w:rPr>
        <w:t>设计</w:t>
      </w:r>
      <w:r>
        <w:rPr>
          <w:rFonts w:hint="eastAsia" w:ascii="Times New Roman" w:hAnsi="Times New Roman" w:eastAsia="宋体" w:cs="Times New Roman"/>
          <w:color w:val="000000" w:themeColor="text1"/>
          <w14:textFill>
            <w14:solidFill>
              <w14:schemeClr w14:val="tx1"/>
            </w14:solidFill>
          </w14:textFill>
          <w14:ligatures w14:val="none"/>
        </w:rPr>
        <w:t>；第</w:t>
      </w:r>
      <w:r>
        <w:rPr>
          <w:rFonts w:hint="eastAsia" w:cs="Times New Roman"/>
          <w:color w:val="000000" w:themeColor="text1"/>
          <w:lang w:val="en-US" w:eastAsia="zh-CN"/>
          <w14:textFill>
            <w14:solidFill>
              <w14:schemeClr w14:val="tx1"/>
            </w14:solidFill>
          </w14:textFill>
          <w14:ligatures w14:val="none"/>
        </w:rPr>
        <w:t>6</w:t>
      </w:r>
      <w:r>
        <w:rPr>
          <w:rFonts w:hint="eastAsia" w:ascii="Times New Roman" w:hAnsi="Times New Roman" w:eastAsia="宋体" w:cs="Times New Roman"/>
          <w:color w:val="000000" w:themeColor="text1"/>
          <w14:textFill>
            <w14:solidFill>
              <w14:schemeClr w14:val="tx1"/>
            </w14:solidFill>
          </w14:textFill>
          <w14:ligatures w14:val="none"/>
        </w:rPr>
        <w:t>章 智能装备集成与数智化</w:t>
      </w:r>
      <w:r>
        <w:rPr>
          <w:rFonts w:hint="eastAsia" w:cs="Times New Roman"/>
          <w:color w:val="000000" w:themeColor="text1"/>
          <w:lang w:eastAsia="zh-CN"/>
          <w14:textFill>
            <w14:solidFill>
              <w14:schemeClr w14:val="tx1"/>
            </w14:solidFill>
          </w14:textFill>
          <w14:ligatures w14:val="none"/>
        </w:rPr>
        <w:t>；</w:t>
      </w:r>
      <w:r>
        <w:rPr>
          <w:rFonts w:hint="eastAsia" w:ascii="Times New Roman" w:hAnsi="Times New Roman" w:eastAsia="宋体" w:cs="Times New Roman"/>
          <w:color w:val="000000" w:themeColor="text1"/>
          <w14:textFill>
            <w14:solidFill>
              <w14:schemeClr w14:val="tx1"/>
            </w14:solidFill>
          </w14:textFill>
          <w14:ligatures w14:val="none"/>
        </w:rPr>
        <w:t>第</w:t>
      </w:r>
      <w:r>
        <w:rPr>
          <w:rFonts w:hint="eastAsia" w:cs="Times New Roman"/>
          <w:color w:val="000000" w:themeColor="text1"/>
          <w:lang w:val="en-US" w:eastAsia="zh-CN"/>
          <w14:textFill>
            <w14:solidFill>
              <w14:schemeClr w14:val="tx1"/>
            </w14:solidFill>
          </w14:textFill>
          <w14:ligatures w14:val="none"/>
        </w:rPr>
        <w:t>7</w:t>
      </w:r>
      <w:r>
        <w:rPr>
          <w:rFonts w:hint="eastAsia" w:ascii="Times New Roman" w:hAnsi="Times New Roman" w:eastAsia="宋体" w:cs="Times New Roman"/>
          <w:color w:val="000000" w:themeColor="text1"/>
          <w14:textFill>
            <w14:solidFill>
              <w14:schemeClr w14:val="tx1"/>
            </w14:solidFill>
          </w14:textFill>
          <w14:ligatures w14:val="none"/>
        </w:rPr>
        <w:t>章 平台制造与预拼装；第</w:t>
      </w:r>
      <w:r>
        <w:rPr>
          <w:rFonts w:hint="eastAsia" w:cs="Times New Roman"/>
          <w:color w:val="000000" w:themeColor="text1"/>
          <w:lang w:val="en-US" w:eastAsia="zh-CN"/>
          <w14:textFill>
            <w14:solidFill>
              <w14:schemeClr w14:val="tx1"/>
            </w14:solidFill>
          </w14:textFill>
          <w14:ligatures w14:val="none"/>
        </w:rPr>
        <w:t>8</w:t>
      </w:r>
      <w:r>
        <w:rPr>
          <w:rFonts w:hint="eastAsia" w:ascii="Times New Roman" w:hAnsi="Times New Roman" w:eastAsia="宋体" w:cs="Times New Roman"/>
          <w:color w:val="000000" w:themeColor="text1"/>
          <w14:textFill>
            <w14:solidFill>
              <w14:schemeClr w14:val="tx1"/>
            </w14:solidFill>
          </w14:textFill>
          <w14:ligatures w14:val="none"/>
        </w:rPr>
        <w:t>章 平台安装与调试；第</w:t>
      </w:r>
      <w:r>
        <w:rPr>
          <w:rFonts w:hint="eastAsia" w:cs="Times New Roman"/>
          <w:color w:val="000000" w:themeColor="text1"/>
          <w:lang w:val="en-US" w:eastAsia="zh-CN"/>
          <w14:textFill>
            <w14:solidFill>
              <w14:schemeClr w14:val="tx1"/>
            </w14:solidFill>
          </w14:textFill>
          <w14:ligatures w14:val="none"/>
        </w:rPr>
        <w:t>9</w:t>
      </w:r>
      <w:r>
        <w:rPr>
          <w:rFonts w:hint="eastAsia" w:ascii="Times New Roman" w:hAnsi="Times New Roman" w:eastAsia="宋体" w:cs="Times New Roman"/>
          <w:color w:val="000000" w:themeColor="text1"/>
          <w14:textFill>
            <w14:solidFill>
              <w14:schemeClr w14:val="tx1"/>
            </w14:solidFill>
          </w14:textFill>
          <w14:ligatures w14:val="none"/>
        </w:rPr>
        <w:t>章 验收；第</w:t>
      </w:r>
      <w:r>
        <w:rPr>
          <w:rFonts w:hint="eastAsia" w:cs="Times New Roman"/>
          <w:color w:val="000000" w:themeColor="text1"/>
          <w:lang w:val="en-US" w:eastAsia="zh-CN"/>
          <w14:textFill>
            <w14:solidFill>
              <w14:schemeClr w14:val="tx1"/>
            </w14:solidFill>
          </w14:textFill>
          <w14:ligatures w14:val="none"/>
        </w:rPr>
        <w:t>10</w:t>
      </w:r>
      <w:r>
        <w:rPr>
          <w:rFonts w:hint="eastAsia" w:ascii="Times New Roman" w:hAnsi="Times New Roman" w:eastAsia="宋体" w:cs="Times New Roman"/>
          <w:color w:val="000000" w:themeColor="text1"/>
          <w14:textFill>
            <w14:solidFill>
              <w14:schemeClr w14:val="tx1"/>
            </w14:solidFill>
          </w14:textFill>
          <w14:ligatures w14:val="none"/>
        </w:rPr>
        <w:t>章 平台运行与维护；第</w:t>
      </w:r>
      <w:r>
        <w:rPr>
          <w:rFonts w:hint="eastAsia" w:cs="Times New Roman"/>
          <w:color w:val="000000" w:themeColor="text1"/>
          <w:lang w:val="en-US" w:eastAsia="zh-CN"/>
          <w14:textFill>
            <w14:solidFill>
              <w14:schemeClr w14:val="tx1"/>
            </w14:solidFill>
          </w14:textFill>
          <w14:ligatures w14:val="none"/>
        </w:rPr>
        <w:t>11</w:t>
      </w:r>
      <w:r>
        <w:rPr>
          <w:rFonts w:hint="eastAsia" w:ascii="Times New Roman" w:hAnsi="Times New Roman" w:eastAsia="宋体" w:cs="Times New Roman"/>
          <w:color w:val="000000" w:themeColor="text1"/>
          <w14:textFill>
            <w14:solidFill>
              <w14:schemeClr w14:val="tx1"/>
            </w14:solidFill>
          </w14:textFill>
          <w14:ligatures w14:val="none"/>
        </w:rPr>
        <w:t>章 平台改造与拆除</w:t>
      </w:r>
      <w:r>
        <w:rPr>
          <w:rFonts w:hint="eastAsia" w:cs="Times New Roman"/>
          <w:color w:val="000000" w:themeColor="text1"/>
          <w:lang w:eastAsia="zh-CN"/>
          <w14:textFill>
            <w14:solidFill>
              <w14:schemeClr w14:val="tx1"/>
            </w14:solidFill>
          </w14:textFill>
          <w14:ligatures w14:val="none"/>
        </w:rPr>
        <w:t>；</w:t>
      </w:r>
      <w:r>
        <w:rPr>
          <w:rFonts w:hint="eastAsia" w:ascii="Times New Roman" w:hAnsi="Times New Roman" w:eastAsia="宋体" w:cs="Times New Roman"/>
          <w:color w:val="000000" w:themeColor="text1"/>
          <w14:textFill>
            <w14:solidFill>
              <w14:schemeClr w14:val="tx1"/>
            </w14:solidFill>
          </w14:textFill>
          <w14:ligatures w14:val="none"/>
        </w:rPr>
        <w:t>第</w:t>
      </w:r>
      <w:r>
        <w:rPr>
          <w:rFonts w:hint="eastAsia" w:cs="Times New Roman"/>
          <w:color w:val="000000" w:themeColor="text1"/>
          <w:lang w:val="en-US" w:eastAsia="zh-CN"/>
          <w14:textFill>
            <w14:solidFill>
              <w14:schemeClr w14:val="tx1"/>
            </w14:solidFill>
          </w14:textFill>
          <w14:ligatures w14:val="none"/>
        </w:rPr>
        <w:t>12</w:t>
      </w:r>
      <w:r>
        <w:rPr>
          <w:rFonts w:hint="eastAsia" w:ascii="Times New Roman" w:hAnsi="Times New Roman" w:eastAsia="宋体" w:cs="Times New Roman"/>
          <w:color w:val="000000" w:themeColor="text1"/>
          <w14:textFill>
            <w14:solidFill>
              <w14:schemeClr w14:val="tx1"/>
            </w14:solidFill>
          </w14:textFill>
          <w14:ligatures w14:val="none"/>
        </w:rPr>
        <w:t xml:space="preserve">章 </w:t>
      </w:r>
      <w:r>
        <w:rPr>
          <w:rFonts w:hint="eastAsia" w:ascii="Times New Roman" w:hAnsi="Times New Roman" w:cs="Times New Roman"/>
          <w:color w:val="000000" w:themeColor="text1"/>
          <w:lang w:val="en-US" w:eastAsia="zh-CN"/>
          <w14:textFill>
            <w14:solidFill>
              <w14:schemeClr w14:val="tx1"/>
            </w14:solidFill>
          </w14:textFill>
          <w14:ligatures w14:val="none"/>
        </w:rPr>
        <w:t>检验、检测与监测</w:t>
      </w:r>
      <w:r>
        <w:rPr>
          <w:rFonts w:hint="eastAsia" w:ascii="Times New Roman" w:hAnsi="Times New Roman" w:eastAsia="宋体" w:cs="Times New Roman"/>
          <w:color w:val="000000" w:themeColor="text1"/>
          <w14:textFill>
            <w14:solidFill>
              <w14:schemeClr w14:val="tx1"/>
            </w14:solidFill>
          </w14:textFill>
          <w14:ligatures w14:val="none"/>
        </w:rPr>
        <w:t>。</w:t>
      </w:r>
    </w:p>
    <w:p w14:paraId="7863759A">
      <w:pPr>
        <w:snapToGrid/>
        <w:spacing w:before="0"/>
        <w:ind w:firstLine="480" w:firstLineChars="200"/>
        <w:jc w:val="both"/>
        <w:rPr>
          <w:rFonts w:hint="default" w:ascii="Times New Roman" w:hAnsi="Times New Roman" w:eastAsia="宋体" w:cs="Times New Roman"/>
          <w:color w:val="000000" w:themeColor="text1"/>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14:textFill>
            <w14:solidFill>
              <w14:schemeClr w14:val="tx1"/>
            </w14:solidFill>
          </w14:textFill>
          <w14:ligatures w14:val="none"/>
        </w:rPr>
        <w:t>本指南主编单位：</w:t>
      </w:r>
      <w:r>
        <w:rPr>
          <w:rFonts w:hint="eastAsia" w:cs="Times New Roman"/>
          <w:color w:val="000000" w:themeColor="text1"/>
          <w:lang w:val="en-US" w:eastAsia="zh-CN"/>
          <w14:textFill>
            <w14:solidFill>
              <w14:schemeClr w14:val="tx1"/>
            </w14:solidFill>
          </w14:textFill>
          <w14:ligatures w14:val="none"/>
        </w:rPr>
        <w:t>广州市建筑业联合会、广州市智能建造与工业化建筑协会</w:t>
      </w:r>
    </w:p>
    <w:p w14:paraId="4ECD4909">
      <w:pPr>
        <w:snapToGrid/>
        <w:spacing w:before="0"/>
        <w:ind w:firstLine="480" w:firstLineChars="200"/>
        <w:jc w:val="both"/>
        <w:rPr>
          <w:rFonts w:hint="default" w:ascii="Times New Roman" w:hAnsi="Times New Roman" w:eastAsia="宋体" w:cs="Times New Roman"/>
          <w:color w:val="000000" w:themeColor="text1"/>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14:textFill>
            <w14:solidFill>
              <w14:schemeClr w14:val="tx1"/>
            </w14:solidFill>
          </w14:textFill>
          <w14:ligatures w14:val="none"/>
        </w:rPr>
        <w:t>本指南参编单位：</w:t>
      </w:r>
      <w:r>
        <w:rPr>
          <w:rFonts w:hint="eastAsia" w:cs="Times New Roman"/>
          <w:color w:val="000000" w:themeColor="text1"/>
          <w:lang w:val="en-US" w:eastAsia="zh-CN"/>
          <w14:textFill>
            <w14:solidFill>
              <w14:schemeClr w14:val="tx1"/>
            </w14:solidFill>
          </w14:textFill>
          <w14:ligatures w14:val="none"/>
        </w:rPr>
        <w:t>中国建筑第四工程局有限公司、中国建筑第三工程局有限公司、中建科工集团有限公司、中国建筑第八工程局有限公司、中铁城建集团有限公司、广东省建筑科学研究院集团股份有限公司、广州智能建造科技集团有限公司、广州市第四建筑工程有限公司、华南理工大学建筑设计研究院有限公司、广州建筑工程监理有限公司、广州市广州工程建设监理有限公司、广东省建设工程质量安全检测总站有限公司、广州达蒙安防科技有限公司、广州爬墙虎机器人有限公司、广东省建筑机械厂有限公司、广东南铝造楼机有限公司</w:t>
      </w:r>
    </w:p>
    <w:p w14:paraId="66F34F74">
      <w:pPr>
        <w:snapToGrid/>
        <w:spacing w:before="0"/>
        <w:ind w:firstLine="480" w:firstLineChars="200"/>
        <w:jc w:val="both"/>
        <w:rPr>
          <w:rFonts w:hint="default" w:ascii="Times New Roman" w:hAnsi="Times New Roman" w:eastAsia="宋体" w:cs="Times New Roman"/>
          <w:color w:val="000000" w:themeColor="text1"/>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lang w:eastAsia="zh-CN"/>
          <w14:textFill>
            <w14:solidFill>
              <w14:schemeClr w14:val="tx1"/>
            </w14:solidFill>
          </w14:textFill>
          <w14:ligatures w14:val="none"/>
        </w:rPr>
        <w:t>本指南编委会：</w:t>
      </w:r>
      <w:r>
        <w:rPr>
          <w:rFonts w:hint="eastAsia" w:cs="Times New Roman"/>
          <w:color w:val="000000" w:themeColor="text1"/>
          <w:lang w:val="en-US" w:eastAsia="zh-CN"/>
          <w14:textFill>
            <w14:solidFill>
              <w14:schemeClr w14:val="tx1"/>
            </w14:solidFill>
          </w14:textFill>
          <w14:ligatures w14:val="none"/>
        </w:rPr>
        <w:t>XX</w:t>
      </w:r>
    </w:p>
    <w:p w14:paraId="40E2AD3B">
      <w:pPr>
        <w:snapToGrid/>
        <w:spacing w:before="0"/>
        <w:ind w:firstLine="480" w:firstLineChars="200"/>
        <w:jc w:val="both"/>
        <w:rPr>
          <w:rFonts w:hint="default" w:ascii="Times New Roman" w:hAnsi="Times New Roman" w:eastAsia="宋体" w:cs="Times New Roman"/>
          <w:color w:val="000000" w:themeColor="text1"/>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14:textFill>
            <w14:solidFill>
              <w14:schemeClr w14:val="tx1"/>
            </w14:solidFill>
          </w14:textFill>
          <w14:ligatures w14:val="none"/>
        </w:rPr>
        <w:t>本指南主要起草人员：</w:t>
      </w:r>
      <w:r>
        <w:rPr>
          <w:rFonts w:hint="eastAsia" w:cs="Times New Roman"/>
          <w:color w:val="000000" w:themeColor="text1"/>
          <w:lang w:val="en-US" w:eastAsia="zh-CN"/>
          <w14:textFill>
            <w14:solidFill>
              <w14:schemeClr w14:val="tx1"/>
            </w14:solidFill>
          </w14:textFill>
          <w14:ligatures w14:val="none"/>
        </w:rPr>
        <w:t>XX</w:t>
      </w:r>
    </w:p>
    <w:p w14:paraId="3CD8A645">
      <w:pPr>
        <w:snapToGrid/>
        <w:spacing w:before="0"/>
        <w:ind w:firstLine="480" w:firstLineChars="200"/>
        <w:jc w:val="left"/>
        <w:rPr>
          <w:rFonts w:hint="default" w:ascii="Times New Roman" w:hAnsi="Times New Roman" w:eastAsia="宋体" w:cs="Times New Roman"/>
          <w:color w:val="000000" w:themeColor="text1"/>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lang w:eastAsia="zh-CN"/>
          <w14:textFill>
            <w14:solidFill>
              <w14:schemeClr w14:val="tx1"/>
            </w14:solidFill>
          </w14:textFill>
          <w14:ligatures w14:val="none"/>
        </w:rPr>
        <w:t>本指南主要审核人员：</w:t>
      </w:r>
      <w:r>
        <w:rPr>
          <w:rFonts w:hint="eastAsia" w:cs="Times New Roman"/>
          <w:color w:val="000000" w:themeColor="text1"/>
          <w:lang w:val="en-US" w:eastAsia="zh-CN"/>
          <w14:textFill>
            <w14:solidFill>
              <w14:schemeClr w14:val="tx1"/>
            </w14:solidFill>
          </w14:textFill>
          <w14:ligatures w14:val="none"/>
        </w:rPr>
        <w:t>XX</w:t>
      </w:r>
    </w:p>
    <w:p w14:paraId="6C786563">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default" w:eastAsia="宋体"/>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14:ligatures w14:val="none"/>
        </w:rPr>
        <w:t>本指南主要</w:t>
      </w:r>
      <w:r>
        <w:rPr>
          <w:rFonts w:hint="eastAsia" w:ascii="Times New Roman" w:hAnsi="Times New Roman" w:eastAsia="宋体" w:cs="Times New Roman"/>
          <w:color w:val="000000" w:themeColor="text1"/>
          <w:lang w:eastAsia="zh-CN"/>
          <w14:textFill>
            <w14:solidFill>
              <w14:schemeClr w14:val="tx1"/>
            </w14:solidFill>
          </w14:textFill>
          <w14:ligatures w14:val="none"/>
        </w:rPr>
        <w:t>审定</w:t>
      </w:r>
      <w:r>
        <w:rPr>
          <w:rFonts w:hint="eastAsia" w:ascii="Times New Roman" w:hAnsi="Times New Roman" w:eastAsia="宋体" w:cs="Times New Roman"/>
          <w:color w:val="000000" w:themeColor="text1"/>
          <w14:textFill>
            <w14:solidFill>
              <w14:schemeClr w14:val="tx1"/>
            </w14:solidFill>
          </w14:textFill>
          <w14:ligatures w14:val="none"/>
        </w:rPr>
        <w:t>人员：</w:t>
      </w:r>
      <w:r>
        <w:rPr>
          <w:rFonts w:hint="eastAsia" w:cs="Times New Roman"/>
          <w:color w:val="000000" w:themeColor="text1"/>
          <w:lang w:val="en-US" w:eastAsia="zh-CN"/>
          <w14:textFill>
            <w14:solidFill>
              <w14:schemeClr w14:val="tx1"/>
            </w14:solidFill>
          </w14:textFill>
          <w14:ligatures w14:val="none"/>
        </w:rPr>
        <w:t>XX</w:t>
      </w:r>
    </w:p>
    <w:bookmarkEnd w:id="7"/>
    <w:p w14:paraId="066CA82C">
      <w:pPr>
        <w:tabs>
          <w:tab w:val="left" w:pos="266"/>
        </w:tabs>
        <w:bidi w:val="0"/>
        <w:jc w:val="center"/>
        <w:rPr>
          <w:rFonts w:hint="eastAsia"/>
          <w:color w:val="000000" w:themeColor="text1"/>
          <w:lang w:val="en-US" w:eastAsia="zh-CN"/>
          <w14:textFill>
            <w14:solidFill>
              <w14:schemeClr w14:val="tx1"/>
            </w14:solidFill>
          </w14:textFill>
        </w:rPr>
        <w:sectPr>
          <w:footerReference r:id="rId6" w:type="default"/>
          <w:pgSz w:w="11906" w:h="16838"/>
          <w:pgMar w:top="1247" w:right="1106" w:bottom="1089" w:left="1797" w:header="851" w:footer="850" w:gutter="0"/>
          <w:pgNumType w:fmt="upperRoman" w:start="1"/>
          <w:cols w:space="425" w:num="1"/>
          <w:docGrid w:type="lines" w:linePitch="312" w:charSpace="0"/>
        </w:sectPr>
      </w:pPr>
    </w:p>
    <w:p w14:paraId="54DE80FE">
      <w:pPr>
        <w:keepNext/>
        <w:keepLines/>
        <w:spacing w:before="340" w:after="330" w:line="576" w:lineRule="auto"/>
        <w:ind w:firstLine="0" w:firstLineChars="0"/>
        <w:jc w:val="center"/>
        <w:outlineLvl w:val="0"/>
        <w:rPr>
          <w:rFonts w:ascii="Times New Roman" w:hAnsi="Times New Roman" w:eastAsia="宋体" w:cs="宋体"/>
          <w:b/>
          <w:color w:val="000000" w:themeColor="text1"/>
          <w:kern w:val="44"/>
          <w:sz w:val="32"/>
          <w:szCs w:val="32"/>
          <w14:textFill>
            <w14:solidFill>
              <w14:schemeClr w14:val="tx1"/>
            </w14:solidFill>
          </w14:textFill>
          <w14:ligatures w14:val="none"/>
        </w:rPr>
      </w:pPr>
      <w:bookmarkStart w:id="8" w:name="_Toc20269"/>
      <w:bookmarkStart w:id="9" w:name="_Toc230012157"/>
      <w:bookmarkStart w:id="10" w:name="_Toc23048"/>
      <w:bookmarkStart w:id="11" w:name="_Toc31172"/>
      <w:bookmarkStart w:id="12" w:name="_Toc31882"/>
      <w:bookmarkStart w:id="13" w:name="_Toc10433"/>
      <w:bookmarkStart w:id="14" w:name="_Toc6093"/>
      <w:bookmarkStart w:id="15" w:name="_Toc20941"/>
      <w:bookmarkStart w:id="16" w:name="_Toc2259"/>
      <w:bookmarkStart w:id="17" w:name="_Toc26537"/>
      <w:bookmarkStart w:id="18" w:name="_Toc13832"/>
      <w:bookmarkStart w:id="19" w:name="_Toc6938"/>
      <w:bookmarkStart w:id="20" w:name="_Toc20758"/>
      <w:r>
        <w:rPr>
          <w:rFonts w:ascii="Times New Roman" w:hAnsi="Times New Roman" w:eastAsia="宋体" w:cs="宋体"/>
          <w:b/>
          <w:color w:val="000000" w:themeColor="text1"/>
          <w:kern w:val="44"/>
          <w:sz w:val="32"/>
          <w:szCs w:val="32"/>
          <w14:textFill>
            <w14:solidFill>
              <w14:schemeClr w14:val="tx1"/>
            </w14:solidFill>
          </w14:textFill>
          <w14:ligatures w14:val="none"/>
        </w:rPr>
        <w:t>本指</w:t>
      </w:r>
      <w:r>
        <w:rPr>
          <w:rFonts w:hint="eastAsia" w:ascii="Times New Roman" w:hAnsi="Times New Roman" w:eastAsia="宋体" w:cs="宋体"/>
          <w:b/>
          <w:color w:val="000000" w:themeColor="text1"/>
          <w:kern w:val="44"/>
          <w:sz w:val="32"/>
          <w:szCs w:val="32"/>
          <w14:textFill>
            <w14:solidFill>
              <w14:schemeClr w14:val="tx1"/>
            </w14:solidFill>
          </w14:textFill>
          <w14:ligatures w14:val="none"/>
        </w:rPr>
        <w:t>南</w:t>
      </w:r>
      <w:r>
        <w:rPr>
          <w:rFonts w:ascii="Times New Roman" w:hAnsi="Times New Roman" w:eastAsia="宋体" w:cs="宋体"/>
          <w:b/>
          <w:color w:val="000000" w:themeColor="text1"/>
          <w:kern w:val="44"/>
          <w:sz w:val="32"/>
          <w:szCs w:val="32"/>
          <w14:textFill>
            <w14:solidFill>
              <w14:schemeClr w14:val="tx1"/>
            </w14:solidFill>
          </w14:textFill>
          <w14:ligatures w14:val="none"/>
        </w:rPr>
        <w:t>用词说明</w:t>
      </w:r>
      <w:bookmarkEnd w:id="8"/>
      <w:bookmarkEnd w:id="9"/>
      <w:bookmarkEnd w:id="10"/>
      <w:bookmarkEnd w:id="11"/>
      <w:bookmarkEnd w:id="12"/>
      <w:bookmarkEnd w:id="13"/>
      <w:bookmarkEnd w:id="14"/>
      <w:bookmarkEnd w:id="15"/>
      <w:bookmarkEnd w:id="16"/>
      <w:bookmarkEnd w:id="17"/>
      <w:bookmarkEnd w:id="18"/>
      <w:bookmarkEnd w:id="19"/>
      <w:bookmarkEnd w:id="20"/>
    </w:p>
    <w:p w14:paraId="77076038">
      <w:pPr>
        <w:spacing w:line="336" w:lineRule="auto"/>
        <w:ind w:firstLine="482" w:firstLineChars="200"/>
        <w:rPr>
          <w:rFonts w:ascii="Times New Roman" w:hAnsi="Times New Roman" w:eastAsia="宋体" w:cs="Times New Roman"/>
          <w:color w:val="000000" w:themeColor="text1"/>
          <w:sz w:val="24"/>
          <w:szCs w:val="24"/>
          <w14:textFill>
            <w14:solidFill>
              <w14:schemeClr w14:val="tx1"/>
            </w14:solidFill>
          </w14:textFill>
          <w14:ligatures w14:val="none"/>
        </w:rPr>
      </w:pPr>
      <w:r>
        <w:rPr>
          <w:rFonts w:ascii="Times New Roman" w:hAnsi="Times New Roman" w:eastAsia="宋体" w:cs="Times New Roman"/>
          <w:b/>
          <w:color w:val="000000" w:themeColor="text1"/>
          <w:sz w:val="24"/>
          <w:szCs w:val="24"/>
          <w14:textFill>
            <w14:solidFill>
              <w14:schemeClr w14:val="tx1"/>
            </w14:solidFill>
          </w14:textFill>
          <w14:ligatures w14:val="none"/>
        </w:rPr>
        <w:t>1</w:t>
      </w:r>
      <w:r>
        <w:rPr>
          <w:rFonts w:ascii="Times New Roman" w:hAnsi="Times New Roman" w:eastAsia="宋体" w:cs="Times New Roman"/>
          <w:color w:val="000000" w:themeColor="text1"/>
          <w:sz w:val="24"/>
          <w:szCs w:val="24"/>
          <w14:textFill>
            <w14:solidFill>
              <w14:schemeClr w14:val="tx1"/>
            </w14:solidFill>
          </w14:textFill>
          <w14:ligatures w14:val="none"/>
        </w:rPr>
        <w:t xml:space="preserve">  为便于在执行本指</w:t>
      </w:r>
      <w:r>
        <w:rPr>
          <w:rFonts w:hint="eastAsia" w:ascii="Times New Roman" w:hAnsi="Times New Roman" w:eastAsia="宋体" w:cs="Times New Roman"/>
          <w:color w:val="000000" w:themeColor="text1"/>
          <w:sz w:val="24"/>
          <w:szCs w:val="24"/>
          <w14:textFill>
            <w14:solidFill>
              <w14:schemeClr w14:val="tx1"/>
            </w14:solidFill>
          </w14:textFill>
          <w14:ligatures w14:val="none"/>
        </w:rPr>
        <w:t>南</w:t>
      </w:r>
      <w:r>
        <w:rPr>
          <w:rFonts w:ascii="Times New Roman" w:hAnsi="Times New Roman" w:eastAsia="宋体" w:cs="Times New Roman"/>
          <w:color w:val="000000" w:themeColor="text1"/>
          <w:sz w:val="24"/>
          <w:szCs w:val="24"/>
          <w14:textFill>
            <w14:solidFill>
              <w14:schemeClr w14:val="tx1"/>
            </w14:solidFill>
          </w14:textFill>
          <w14:ligatures w14:val="none"/>
        </w:rPr>
        <w:t>条文时区别对待，对于要求严格程度不同的用词说明如下：</w:t>
      </w:r>
    </w:p>
    <w:p w14:paraId="71033D46">
      <w:pPr>
        <w:spacing w:line="336" w:lineRule="auto"/>
        <w:ind w:firstLine="482" w:firstLineChars="200"/>
        <w:rPr>
          <w:rFonts w:ascii="Times New Roman" w:hAnsi="Times New Roman" w:eastAsia="宋体" w:cs="Times New Roman"/>
          <w:color w:val="000000" w:themeColor="text1"/>
          <w:sz w:val="24"/>
          <w:szCs w:val="24"/>
          <w14:textFill>
            <w14:solidFill>
              <w14:schemeClr w14:val="tx1"/>
            </w14:solidFill>
          </w14:textFill>
          <w14:ligatures w14:val="none"/>
        </w:rPr>
      </w:pPr>
      <w:r>
        <w:rPr>
          <w:rFonts w:ascii="Times New Roman" w:hAnsi="Times New Roman" w:eastAsia="宋体" w:cs="Times New Roman"/>
          <w:b/>
          <w:color w:val="000000" w:themeColor="text1"/>
          <w:sz w:val="24"/>
          <w:szCs w:val="24"/>
          <w14:textFill>
            <w14:solidFill>
              <w14:schemeClr w14:val="tx1"/>
            </w14:solidFill>
          </w14:textFill>
          <w14:ligatures w14:val="none"/>
        </w:rPr>
        <w:t>1</w:t>
      </w:r>
      <w:r>
        <w:rPr>
          <w:rFonts w:ascii="Times New Roman" w:hAnsi="Times New Roman" w:eastAsia="宋体" w:cs="Times New Roman"/>
          <w:color w:val="000000" w:themeColor="text1"/>
          <w:sz w:val="24"/>
          <w:szCs w:val="24"/>
          <w14:textFill>
            <w14:solidFill>
              <w14:schemeClr w14:val="tx1"/>
            </w14:solidFill>
          </w14:textFill>
          <w14:ligatures w14:val="none"/>
        </w:rPr>
        <w:t>）表示很严格，非这样做不可的用词：</w:t>
      </w:r>
    </w:p>
    <w:p w14:paraId="2452AD3A">
      <w:pPr>
        <w:spacing w:line="336" w:lineRule="auto"/>
        <w:ind w:firstLine="840" w:firstLineChars="350"/>
        <w:rPr>
          <w:rFonts w:ascii="Times New Roman" w:hAnsi="Times New Roman" w:eastAsia="宋体" w:cs="Times New Roman"/>
          <w:color w:val="000000" w:themeColor="text1"/>
          <w:sz w:val="24"/>
          <w:szCs w:val="24"/>
          <w14:textFill>
            <w14:solidFill>
              <w14:schemeClr w14:val="tx1"/>
            </w14:solidFill>
          </w14:textFill>
          <w14:ligatures w14:val="none"/>
        </w:rPr>
      </w:pPr>
      <w:r>
        <w:rPr>
          <w:rFonts w:ascii="Times New Roman" w:hAnsi="Times New Roman" w:eastAsia="宋体" w:cs="Times New Roman"/>
          <w:color w:val="000000" w:themeColor="text1"/>
          <w:sz w:val="24"/>
          <w:szCs w:val="24"/>
          <w14:textFill>
            <w14:solidFill>
              <w14:schemeClr w14:val="tx1"/>
            </w14:solidFill>
          </w14:textFill>
          <w14:ligatures w14:val="none"/>
        </w:rPr>
        <w:t>正面词采用</w:t>
      </w:r>
      <w:r>
        <w:rPr>
          <w:rFonts w:hint="eastAsia" w:ascii="宋体" w:hAnsi="宋体" w:eastAsia="宋体" w:cs="宋体"/>
          <w:color w:val="000000" w:themeColor="text1"/>
          <w:sz w:val="24"/>
          <w:szCs w:val="24"/>
          <w14:textFill>
            <w14:solidFill>
              <w14:schemeClr w14:val="tx1"/>
            </w14:solidFill>
          </w14:textFill>
          <w14:ligatures w14:val="none"/>
        </w:rPr>
        <w:t>“必须”，反面词采用“严禁”</w:t>
      </w:r>
      <w:r>
        <w:rPr>
          <w:rFonts w:ascii="Times New Roman" w:hAnsi="Times New Roman" w:eastAsia="宋体" w:cs="Times New Roman"/>
          <w:color w:val="000000" w:themeColor="text1"/>
          <w:sz w:val="24"/>
          <w:szCs w:val="24"/>
          <w14:textFill>
            <w14:solidFill>
              <w14:schemeClr w14:val="tx1"/>
            </w14:solidFill>
          </w14:textFill>
          <w14:ligatures w14:val="none"/>
        </w:rPr>
        <w:t>；</w:t>
      </w:r>
    </w:p>
    <w:p w14:paraId="12CC5B39">
      <w:pPr>
        <w:spacing w:line="336" w:lineRule="auto"/>
        <w:ind w:firstLine="482" w:firstLineChars="200"/>
        <w:rPr>
          <w:rFonts w:ascii="Times New Roman" w:hAnsi="Times New Roman" w:eastAsia="宋体" w:cs="Times New Roman"/>
          <w:color w:val="000000" w:themeColor="text1"/>
          <w:sz w:val="24"/>
          <w:szCs w:val="24"/>
          <w14:textFill>
            <w14:solidFill>
              <w14:schemeClr w14:val="tx1"/>
            </w14:solidFill>
          </w14:textFill>
          <w14:ligatures w14:val="none"/>
        </w:rPr>
      </w:pPr>
      <w:r>
        <w:rPr>
          <w:rFonts w:ascii="Times New Roman" w:hAnsi="Times New Roman" w:eastAsia="宋体" w:cs="Times New Roman"/>
          <w:b/>
          <w:color w:val="000000" w:themeColor="text1"/>
          <w:sz w:val="24"/>
          <w:szCs w:val="24"/>
          <w14:textFill>
            <w14:solidFill>
              <w14:schemeClr w14:val="tx1"/>
            </w14:solidFill>
          </w14:textFill>
          <w14:ligatures w14:val="none"/>
        </w:rPr>
        <w:t>2</w:t>
      </w:r>
      <w:r>
        <w:rPr>
          <w:rFonts w:ascii="Times New Roman" w:hAnsi="Times New Roman" w:eastAsia="宋体" w:cs="Times New Roman"/>
          <w:color w:val="000000" w:themeColor="text1"/>
          <w:sz w:val="24"/>
          <w:szCs w:val="24"/>
          <w14:textFill>
            <w14:solidFill>
              <w14:schemeClr w14:val="tx1"/>
            </w14:solidFill>
          </w14:textFill>
          <w14:ligatures w14:val="none"/>
        </w:rPr>
        <w:t>）表示严格，在正常情况下均应这样做的用词：</w:t>
      </w:r>
    </w:p>
    <w:p w14:paraId="44D44251">
      <w:pPr>
        <w:spacing w:line="336" w:lineRule="auto"/>
        <w:ind w:firstLine="840" w:firstLineChars="350"/>
        <w:rPr>
          <w:rFonts w:ascii="Times New Roman" w:hAnsi="Times New Roman" w:eastAsia="宋体" w:cs="Times New Roman"/>
          <w:color w:val="000000" w:themeColor="text1"/>
          <w:sz w:val="24"/>
          <w:szCs w:val="24"/>
          <w14:textFill>
            <w14:solidFill>
              <w14:schemeClr w14:val="tx1"/>
            </w14:solidFill>
          </w14:textFill>
          <w14:ligatures w14:val="none"/>
        </w:rPr>
      </w:pPr>
      <w:r>
        <w:rPr>
          <w:rFonts w:ascii="Times New Roman" w:hAnsi="Times New Roman" w:eastAsia="宋体" w:cs="Times New Roman"/>
          <w:color w:val="000000" w:themeColor="text1"/>
          <w:sz w:val="24"/>
          <w:szCs w:val="24"/>
          <w14:textFill>
            <w14:solidFill>
              <w14:schemeClr w14:val="tx1"/>
            </w14:solidFill>
          </w14:textFill>
          <w14:ligatures w14:val="none"/>
        </w:rPr>
        <w:t>正面词采</w:t>
      </w:r>
      <w:r>
        <w:rPr>
          <w:rFonts w:hint="eastAsia" w:ascii="宋体" w:hAnsi="宋体" w:eastAsia="宋体" w:cs="宋体"/>
          <w:color w:val="000000" w:themeColor="text1"/>
          <w:sz w:val="24"/>
          <w:szCs w:val="24"/>
          <w14:textFill>
            <w14:solidFill>
              <w14:schemeClr w14:val="tx1"/>
            </w14:solidFill>
          </w14:textFill>
          <w14:ligatures w14:val="none"/>
        </w:rPr>
        <w:t>用“应”，反面词采用“不应”或“不得”</w:t>
      </w:r>
      <w:r>
        <w:rPr>
          <w:rFonts w:ascii="Times New Roman" w:hAnsi="Times New Roman" w:eastAsia="宋体" w:cs="Times New Roman"/>
          <w:color w:val="000000" w:themeColor="text1"/>
          <w:sz w:val="24"/>
          <w:szCs w:val="24"/>
          <w14:textFill>
            <w14:solidFill>
              <w14:schemeClr w14:val="tx1"/>
            </w14:solidFill>
          </w14:textFill>
          <w14:ligatures w14:val="none"/>
        </w:rPr>
        <w:t>；</w:t>
      </w:r>
    </w:p>
    <w:p w14:paraId="1E010880">
      <w:pPr>
        <w:spacing w:line="336" w:lineRule="auto"/>
        <w:ind w:firstLine="482" w:firstLineChars="200"/>
        <w:rPr>
          <w:rFonts w:ascii="Times New Roman" w:hAnsi="Times New Roman" w:eastAsia="宋体" w:cs="Times New Roman"/>
          <w:color w:val="000000" w:themeColor="text1"/>
          <w:sz w:val="24"/>
          <w:szCs w:val="24"/>
          <w14:textFill>
            <w14:solidFill>
              <w14:schemeClr w14:val="tx1"/>
            </w14:solidFill>
          </w14:textFill>
          <w14:ligatures w14:val="none"/>
        </w:rPr>
      </w:pPr>
      <w:r>
        <w:rPr>
          <w:rFonts w:ascii="Times New Roman" w:hAnsi="Times New Roman" w:eastAsia="宋体" w:cs="Times New Roman"/>
          <w:b/>
          <w:color w:val="000000" w:themeColor="text1"/>
          <w:sz w:val="24"/>
          <w:szCs w:val="24"/>
          <w14:textFill>
            <w14:solidFill>
              <w14:schemeClr w14:val="tx1"/>
            </w14:solidFill>
          </w14:textFill>
          <w14:ligatures w14:val="none"/>
        </w:rPr>
        <w:t>3</w:t>
      </w:r>
      <w:r>
        <w:rPr>
          <w:rFonts w:ascii="Times New Roman" w:hAnsi="Times New Roman" w:eastAsia="宋体" w:cs="Times New Roman"/>
          <w:color w:val="000000" w:themeColor="text1"/>
          <w:sz w:val="24"/>
          <w:szCs w:val="24"/>
          <w14:textFill>
            <w14:solidFill>
              <w14:schemeClr w14:val="tx1"/>
            </w14:solidFill>
          </w14:textFill>
          <w14:ligatures w14:val="none"/>
        </w:rPr>
        <w:t>）表示允许稍有选择，在条件许可时首先应这样做的用词：</w:t>
      </w:r>
    </w:p>
    <w:p w14:paraId="28AFDFA2">
      <w:pPr>
        <w:spacing w:line="336" w:lineRule="auto"/>
        <w:ind w:firstLine="840" w:firstLineChars="350"/>
        <w:rPr>
          <w:rFonts w:ascii="Times New Roman" w:hAnsi="Times New Roman" w:eastAsia="宋体" w:cs="Times New Roman"/>
          <w:color w:val="000000" w:themeColor="text1"/>
          <w:sz w:val="24"/>
          <w:szCs w:val="24"/>
          <w14:textFill>
            <w14:solidFill>
              <w14:schemeClr w14:val="tx1"/>
            </w14:solidFill>
          </w14:textFill>
          <w14:ligatures w14:val="none"/>
        </w:rPr>
      </w:pPr>
      <w:r>
        <w:rPr>
          <w:rFonts w:ascii="Times New Roman" w:hAnsi="Times New Roman" w:eastAsia="宋体" w:cs="Times New Roman"/>
          <w:color w:val="000000" w:themeColor="text1"/>
          <w:sz w:val="24"/>
          <w:szCs w:val="24"/>
          <w14:textFill>
            <w14:solidFill>
              <w14:schemeClr w14:val="tx1"/>
            </w14:solidFill>
          </w14:textFill>
          <w14:ligatures w14:val="none"/>
        </w:rPr>
        <w:t>正面词采</w:t>
      </w:r>
      <w:r>
        <w:rPr>
          <w:rFonts w:hint="eastAsia" w:ascii="宋体" w:hAnsi="宋体" w:eastAsia="宋体" w:cs="宋体"/>
          <w:color w:val="000000" w:themeColor="text1"/>
          <w:sz w:val="24"/>
          <w:szCs w:val="24"/>
          <w14:textFill>
            <w14:solidFill>
              <w14:schemeClr w14:val="tx1"/>
            </w14:solidFill>
          </w14:textFill>
          <w14:ligatures w14:val="none"/>
        </w:rPr>
        <w:t>用“宜”，反面词采用“不宜”</w:t>
      </w:r>
      <w:r>
        <w:rPr>
          <w:rFonts w:ascii="Times New Roman" w:hAnsi="Times New Roman" w:eastAsia="宋体" w:cs="Times New Roman"/>
          <w:color w:val="000000" w:themeColor="text1"/>
          <w:sz w:val="24"/>
          <w:szCs w:val="24"/>
          <w14:textFill>
            <w14:solidFill>
              <w14:schemeClr w14:val="tx1"/>
            </w14:solidFill>
          </w14:textFill>
          <w14:ligatures w14:val="none"/>
        </w:rPr>
        <w:t>；</w:t>
      </w:r>
    </w:p>
    <w:p w14:paraId="7E23081D">
      <w:pPr>
        <w:spacing w:line="336" w:lineRule="auto"/>
        <w:ind w:firstLine="482" w:firstLineChars="200"/>
        <w:rPr>
          <w:rFonts w:ascii="Times New Roman" w:hAnsi="Times New Roman" w:eastAsia="宋体" w:cs="Times New Roman"/>
          <w:color w:val="000000" w:themeColor="text1"/>
          <w:sz w:val="24"/>
          <w:szCs w:val="24"/>
          <w14:textFill>
            <w14:solidFill>
              <w14:schemeClr w14:val="tx1"/>
            </w14:solidFill>
          </w14:textFill>
          <w14:ligatures w14:val="none"/>
        </w:rPr>
      </w:pPr>
      <w:r>
        <w:rPr>
          <w:rFonts w:ascii="Times New Roman" w:hAnsi="Times New Roman" w:eastAsia="宋体" w:cs="Times New Roman"/>
          <w:b/>
          <w:color w:val="000000" w:themeColor="text1"/>
          <w:sz w:val="24"/>
          <w:szCs w:val="24"/>
          <w14:textFill>
            <w14:solidFill>
              <w14:schemeClr w14:val="tx1"/>
            </w14:solidFill>
          </w14:textFill>
          <w14:ligatures w14:val="none"/>
        </w:rPr>
        <w:t>4</w:t>
      </w:r>
      <w:r>
        <w:rPr>
          <w:rFonts w:ascii="Times New Roman" w:hAnsi="Times New Roman" w:eastAsia="宋体" w:cs="Times New Roman"/>
          <w:color w:val="000000" w:themeColor="text1"/>
          <w:sz w:val="24"/>
          <w:szCs w:val="24"/>
          <w14:textFill>
            <w14:solidFill>
              <w14:schemeClr w14:val="tx1"/>
            </w14:solidFill>
          </w14:textFill>
          <w14:ligatures w14:val="none"/>
        </w:rPr>
        <w:t>）表示有选择，在一定条件下可以这样做的用词，采</w:t>
      </w:r>
      <w:r>
        <w:rPr>
          <w:rFonts w:hint="eastAsia" w:ascii="宋体" w:hAnsi="宋体" w:eastAsia="宋体" w:cs="宋体"/>
          <w:color w:val="000000" w:themeColor="text1"/>
          <w:sz w:val="24"/>
          <w:szCs w:val="24"/>
          <w14:textFill>
            <w14:solidFill>
              <w14:schemeClr w14:val="tx1"/>
            </w14:solidFill>
          </w14:textFill>
          <w14:ligatures w14:val="none"/>
        </w:rPr>
        <w:t>用“可”</w:t>
      </w:r>
      <w:r>
        <w:rPr>
          <w:rFonts w:ascii="Times New Roman" w:hAnsi="Times New Roman" w:eastAsia="宋体" w:cs="Times New Roman"/>
          <w:color w:val="000000" w:themeColor="text1"/>
          <w:sz w:val="24"/>
          <w:szCs w:val="24"/>
          <w14:textFill>
            <w14:solidFill>
              <w14:schemeClr w14:val="tx1"/>
            </w14:solidFill>
          </w14:textFill>
          <w14:ligatures w14:val="none"/>
        </w:rPr>
        <w:t>。</w:t>
      </w:r>
    </w:p>
    <w:p w14:paraId="20FB3E91">
      <w:pPr>
        <w:spacing w:line="336" w:lineRule="auto"/>
        <w:ind w:firstLine="482" w:firstLineChars="200"/>
        <w:rPr>
          <w:rFonts w:ascii="Times New Roman" w:hAnsi="Times New Roman" w:eastAsia="宋体" w:cs="Times New Roman"/>
          <w:color w:val="000000" w:themeColor="text1"/>
          <w:sz w:val="24"/>
          <w:szCs w:val="24"/>
          <w14:textFill>
            <w14:solidFill>
              <w14:schemeClr w14:val="tx1"/>
            </w14:solidFill>
          </w14:textFill>
          <w14:ligatures w14:val="none"/>
        </w:rPr>
      </w:pPr>
      <w:r>
        <w:rPr>
          <w:rFonts w:ascii="Times New Roman" w:hAnsi="Times New Roman" w:eastAsia="宋体" w:cs="Times New Roman"/>
          <w:b/>
          <w:color w:val="000000" w:themeColor="text1"/>
          <w:sz w:val="24"/>
          <w:szCs w:val="24"/>
          <w14:textFill>
            <w14:solidFill>
              <w14:schemeClr w14:val="tx1"/>
            </w14:solidFill>
          </w14:textFill>
          <w14:ligatures w14:val="none"/>
        </w:rPr>
        <w:t>2</w:t>
      </w:r>
      <w:r>
        <w:rPr>
          <w:rFonts w:ascii="Times New Roman" w:hAnsi="Times New Roman" w:eastAsia="宋体" w:cs="Times New Roman"/>
          <w:color w:val="000000" w:themeColor="text1"/>
          <w:sz w:val="24"/>
          <w:szCs w:val="24"/>
          <w14:textFill>
            <w14:solidFill>
              <w14:schemeClr w14:val="tx1"/>
            </w14:solidFill>
          </w14:textFill>
          <w14:ligatures w14:val="none"/>
        </w:rPr>
        <w:t xml:space="preserve">  本指</w:t>
      </w:r>
      <w:r>
        <w:rPr>
          <w:rFonts w:hint="eastAsia" w:ascii="Times New Roman" w:hAnsi="Times New Roman" w:eastAsia="宋体" w:cs="Times New Roman"/>
          <w:color w:val="000000" w:themeColor="text1"/>
          <w:sz w:val="24"/>
          <w:szCs w:val="24"/>
          <w14:textFill>
            <w14:solidFill>
              <w14:schemeClr w14:val="tx1"/>
            </w14:solidFill>
          </w14:textFill>
          <w14:ligatures w14:val="none"/>
        </w:rPr>
        <w:t>南</w:t>
      </w:r>
      <w:r>
        <w:rPr>
          <w:rFonts w:ascii="Times New Roman" w:hAnsi="Times New Roman" w:eastAsia="宋体" w:cs="Times New Roman"/>
          <w:color w:val="000000" w:themeColor="text1"/>
          <w:sz w:val="24"/>
          <w:szCs w:val="24"/>
          <w14:textFill>
            <w14:solidFill>
              <w14:schemeClr w14:val="tx1"/>
            </w14:solidFill>
          </w14:textFill>
          <w14:ligatures w14:val="none"/>
        </w:rPr>
        <w:t>中指明应按其他有关标准执行的写法为：</w:t>
      </w:r>
      <w:r>
        <w:rPr>
          <w:rFonts w:hint="eastAsia" w:ascii="宋体" w:hAnsi="宋体" w:eastAsia="宋体" w:cs="宋体"/>
          <w:color w:val="000000" w:themeColor="text1"/>
          <w:sz w:val="24"/>
          <w:szCs w:val="24"/>
          <w14:textFill>
            <w14:solidFill>
              <w14:schemeClr w14:val="tx1"/>
            </w14:solidFill>
          </w14:textFill>
          <w14:ligatures w14:val="none"/>
        </w:rPr>
        <w:t>“应符合……的规定”或“应按……执行”。</w:t>
      </w:r>
    </w:p>
    <w:p w14:paraId="7E965CAC">
      <w:pPr>
        <w:tabs>
          <w:tab w:val="left" w:pos="266"/>
        </w:tabs>
        <w:bidi w:val="0"/>
        <w:jc w:val="left"/>
        <w:rPr>
          <w:rFonts w:hint="eastAsia"/>
          <w:color w:val="000000" w:themeColor="text1"/>
          <w:lang w:val="en-US" w:eastAsia="zh-CN"/>
          <w14:textFill>
            <w14:solidFill>
              <w14:schemeClr w14:val="tx1"/>
            </w14:solidFill>
          </w14:textFill>
        </w:rPr>
        <w:sectPr>
          <w:footerReference r:id="rId7" w:type="default"/>
          <w:pgSz w:w="11906" w:h="16838"/>
          <w:pgMar w:top="1247" w:right="1106" w:bottom="1089" w:left="1797" w:header="851" w:footer="850" w:gutter="0"/>
          <w:pgNumType w:fmt="upperRoman"/>
          <w:cols w:space="425" w:num="1"/>
          <w:docGrid w:type="lines" w:linePitch="312" w:charSpace="0"/>
        </w:sectPr>
      </w:pPr>
    </w:p>
    <w:p w14:paraId="2587121B">
      <w:pPr>
        <w:spacing w:before="0" w:beforeLines="0" w:after="0" w:afterLines="0" w:line="240" w:lineRule="auto"/>
        <w:ind w:left="0" w:leftChars="0" w:right="0" w:rightChars="0" w:firstLine="0" w:firstLineChars="0"/>
        <w:jc w:val="center"/>
        <w:rPr>
          <w:color w:val="000000" w:themeColor="text1"/>
          <w14:textFill>
            <w14:solidFill>
              <w14:schemeClr w14:val="tx1"/>
            </w14:solidFill>
          </w14:textFill>
        </w:rPr>
      </w:pPr>
      <w:r>
        <w:rPr>
          <w:rFonts w:hint="eastAsia" w:ascii="黑体" w:hAnsi="黑体" w:eastAsia="黑体" w:cs="黑体"/>
          <w:b/>
          <w:color w:val="000000" w:themeColor="text1"/>
          <w:kern w:val="2"/>
          <w:sz w:val="32"/>
          <w:szCs w:val="32"/>
          <w:lang w:val="en-US" w:eastAsia="zh-CN" w:bidi="ar-SA"/>
          <w14:textFill>
            <w14:solidFill>
              <w14:schemeClr w14:val="tx1"/>
            </w14:solidFill>
          </w14:textFill>
        </w:rPr>
        <w:t>目  录</w:t>
      </w:r>
    </w:p>
    <w:p w14:paraId="1F4F1C48">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color w:val="000000" w:themeColor="text1"/>
          <w14:textFill>
            <w14:solidFill>
              <w14:schemeClr w14:val="tx1"/>
            </w14:solidFill>
          </w14:textFill>
        </w:rPr>
        <w:instrText xml:space="preserve">TOC \o "1-3" \h \u </w:instrText>
      </w:r>
      <w:r>
        <w:rPr>
          <w:rFonts w:ascii="Times New Roman" w:hAnsi="Times New Roman" w:eastAsia="宋体"/>
          <w:color w:val="000000" w:themeColor="text1"/>
          <w14:textFill>
            <w14:solidFill>
              <w14:schemeClr w14:val="tx1"/>
            </w14:solidFill>
          </w14:textFill>
        </w:rPr>
        <w:fldChar w:fldCharType="separate"/>
      </w: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_Toc31172 </w:instrText>
      </w:r>
      <w:r>
        <w:rPr>
          <w:rFonts w:ascii="Times New Roman" w:hAnsi="Times New Roman" w:eastAsia="宋体"/>
        </w:rPr>
        <w:fldChar w:fldCharType="separate"/>
      </w:r>
      <w:r>
        <w:rPr>
          <w:rFonts w:ascii="Times New Roman" w:hAnsi="Times New Roman" w:eastAsia="宋体" w:cs="宋体"/>
          <w:kern w:val="44"/>
          <w:szCs w:val="32"/>
          <w14:ligatures w14:val="none"/>
        </w:rPr>
        <w:t>本指</w:t>
      </w:r>
      <w:r>
        <w:rPr>
          <w:rFonts w:hint="eastAsia" w:ascii="Times New Roman" w:hAnsi="Times New Roman" w:eastAsia="宋体" w:cs="宋体"/>
          <w:kern w:val="44"/>
          <w:szCs w:val="32"/>
          <w14:ligatures w14:val="none"/>
        </w:rPr>
        <w:t>南</w:t>
      </w:r>
      <w:r>
        <w:rPr>
          <w:rFonts w:ascii="Times New Roman" w:hAnsi="Times New Roman" w:eastAsia="宋体" w:cs="宋体"/>
          <w:kern w:val="44"/>
          <w:szCs w:val="32"/>
          <w14:ligatures w14:val="none"/>
        </w:rPr>
        <w:t>用词说明</w:t>
      </w:r>
      <w:r>
        <w:tab/>
      </w:r>
      <w:r>
        <w:fldChar w:fldCharType="begin"/>
      </w:r>
      <w:r>
        <w:instrText xml:space="preserve"> PAGEREF _Toc31172 \h </w:instrText>
      </w:r>
      <w:r>
        <w:fldChar w:fldCharType="separate"/>
      </w:r>
      <w:r>
        <w:t>II</w:t>
      </w:r>
      <w:r>
        <w:fldChar w:fldCharType="end"/>
      </w:r>
      <w:r>
        <w:rPr>
          <w:rFonts w:ascii="Times New Roman" w:hAnsi="Times New Roman" w:eastAsia="宋体"/>
          <w:color w:val="000000" w:themeColor="text1"/>
          <w14:textFill>
            <w14:solidFill>
              <w14:schemeClr w14:val="tx1"/>
            </w14:solidFill>
          </w14:textFill>
        </w:rPr>
        <w:fldChar w:fldCharType="end"/>
      </w:r>
    </w:p>
    <w:p w14:paraId="18EA5C07">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_Toc21834 </w:instrText>
      </w:r>
      <w:r>
        <w:rPr>
          <w:rFonts w:ascii="Times New Roman" w:hAnsi="Times New Roman" w:eastAsia="宋体"/>
        </w:rPr>
        <w:fldChar w:fldCharType="separate"/>
      </w:r>
      <w:r>
        <w:rPr>
          <w:rFonts w:hint="eastAsia"/>
          <w:lang w:eastAsia="zh-CN"/>
        </w:rPr>
        <w:t>第</w:t>
      </w:r>
      <w:r>
        <w:rPr>
          <w:rFonts w:hint="eastAsia"/>
          <w:lang w:val="en-US" w:eastAsia="zh-CN"/>
        </w:rPr>
        <w:t>1</w:t>
      </w:r>
      <w:r>
        <w:rPr>
          <w:rFonts w:hint="eastAsia"/>
          <w:lang w:eastAsia="zh-CN"/>
        </w:rPr>
        <w:t>章</w:t>
      </w:r>
      <w:r>
        <w:t xml:space="preserve">  总则</w:t>
      </w:r>
      <w:r>
        <w:tab/>
      </w:r>
      <w:r>
        <w:fldChar w:fldCharType="begin"/>
      </w:r>
      <w:r>
        <w:instrText xml:space="preserve"> PAGEREF _Toc21834 \h </w:instrText>
      </w:r>
      <w:r>
        <w:fldChar w:fldCharType="separate"/>
      </w:r>
      <w:r>
        <w:t>1</w:t>
      </w:r>
      <w:r>
        <w:fldChar w:fldCharType="end"/>
      </w:r>
      <w:r>
        <w:rPr>
          <w:rFonts w:ascii="Times New Roman" w:hAnsi="Times New Roman" w:eastAsia="宋体"/>
          <w:color w:val="000000" w:themeColor="text1"/>
          <w14:textFill>
            <w14:solidFill>
              <w14:schemeClr w14:val="tx1"/>
            </w14:solidFill>
          </w14:textFill>
        </w:rPr>
        <w:fldChar w:fldCharType="end"/>
      </w:r>
    </w:p>
    <w:p w14:paraId="5F95A562">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_Toc16741 </w:instrText>
      </w:r>
      <w:r>
        <w:rPr>
          <w:rFonts w:ascii="Times New Roman" w:hAnsi="Times New Roman" w:eastAsia="宋体"/>
        </w:rPr>
        <w:fldChar w:fldCharType="separate"/>
      </w:r>
      <w:r>
        <w:rPr>
          <w:rFonts w:hint="eastAsia"/>
          <w:lang w:eastAsia="zh-CN"/>
        </w:rPr>
        <w:t>第</w:t>
      </w:r>
      <w:r>
        <w:rPr>
          <w:rFonts w:hint="eastAsia"/>
          <w:lang w:val="en-US" w:eastAsia="zh-CN"/>
        </w:rPr>
        <w:t>2</w:t>
      </w:r>
      <w:r>
        <w:rPr>
          <w:rFonts w:hint="eastAsia"/>
          <w:lang w:eastAsia="zh-CN"/>
        </w:rPr>
        <w:t>章</w:t>
      </w:r>
      <w:r>
        <w:t xml:space="preserve">  </w:t>
      </w:r>
      <w:r>
        <w:rPr>
          <w:rFonts w:hint="eastAsia"/>
          <w:lang w:val="en-US" w:eastAsia="zh-CN"/>
        </w:rPr>
        <w:t>术语和符号</w:t>
      </w:r>
      <w:r>
        <w:tab/>
      </w:r>
      <w:r>
        <w:fldChar w:fldCharType="begin"/>
      </w:r>
      <w:r>
        <w:instrText xml:space="preserve"> PAGEREF _Toc16741 \h </w:instrText>
      </w:r>
      <w:r>
        <w:fldChar w:fldCharType="separate"/>
      </w:r>
      <w:r>
        <w:t>2</w:t>
      </w:r>
      <w:r>
        <w:fldChar w:fldCharType="end"/>
      </w:r>
      <w:r>
        <w:rPr>
          <w:rFonts w:ascii="Times New Roman" w:hAnsi="Times New Roman" w:eastAsia="宋体"/>
          <w:color w:val="000000" w:themeColor="text1"/>
          <w14:textFill>
            <w14:solidFill>
              <w14:schemeClr w14:val="tx1"/>
            </w14:solidFill>
          </w14:textFill>
        </w:rPr>
        <w:fldChar w:fldCharType="end"/>
      </w:r>
    </w:p>
    <w:p w14:paraId="1483D957">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_Toc17219 </w:instrText>
      </w:r>
      <w:r>
        <w:rPr>
          <w:rFonts w:ascii="Times New Roman" w:hAnsi="Times New Roman" w:eastAsia="宋体"/>
        </w:rPr>
        <w:fldChar w:fldCharType="separate"/>
      </w:r>
      <w:r>
        <w:rPr>
          <w:rFonts w:hint="eastAsia"/>
          <w:lang w:val="en-US" w:eastAsia="zh-CN"/>
        </w:rPr>
        <w:t>2</w:t>
      </w:r>
      <w:r>
        <w:t xml:space="preserve">.1  </w:t>
      </w:r>
      <w:r>
        <w:rPr>
          <w:rFonts w:hint="eastAsia"/>
          <w:lang w:val="en-US" w:eastAsia="zh-CN"/>
        </w:rPr>
        <w:t>术语</w:t>
      </w:r>
      <w:r>
        <w:tab/>
      </w:r>
      <w:r>
        <w:fldChar w:fldCharType="begin"/>
      </w:r>
      <w:r>
        <w:instrText xml:space="preserve"> PAGEREF _Toc17219 \h </w:instrText>
      </w:r>
      <w:r>
        <w:fldChar w:fldCharType="separate"/>
      </w:r>
      <w:r>
        <w:t>2</w:t>
      </w:r>
      <w:r>
        <w:fldChar w:fldCharType="end"/>
      </w:r>
      <w:r>
        <w:rPr>
          <w:rFonts w:ascii="Times New Roman" w:hAnsi="Times New Roman" w:eastAsia="宋体"/>
          <w:color w:val="000000" w:themeColor="text1"/>
          <w14:textFill>
            <w14:solidFill>
              <w14:schemeClr w14:val="tx1"/>
            </w14:solidFill>
          </w14:textFill>
        </w:rPr>
        <w:fldChar w:fldCharType="end"/>
      </w:r>
    </w:p>
    <w:p w14:paraId="77504212">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_Toc25738 </w:instrText>
      </w:r>
      <w:r>
        <w:rPr>
          <w:rFonts w:ascii="Times New Roman" w:hAnsi="Times New Roman" w:eastAsia="宋体"/>
        </w:rPr>
        <w:fldChar w:fldCharType="separate"/>
      </w:r>
      <w:r>
        <w:rPr>
          <w:rFonts w:hint="eastAsia"/>
          <w:lang w:val="en-US" w:eastAsia="zh-CN"/>
        </w:rPr>
        <w:t>2</w:t>
      </w:r>
      <w:r>
        <w:t>.</w:t>
      </w:r>
      <w:r>
        <w:rPr>
          <w:rFonts w:hint="eastAsia"/>
          <w:lang w:val="en-US" w:eastAsia="zh-CN"/>
        </w:rPr>
        <w:t>2</w:t>
      </w:r>
      <w:r>
        <w:t xml:space="preserve">  </w:t>
      </w:r>
      <w:r>
        <w:rPr>
          <w:rFonts w:hint="eastAsia"/>
          <w:lang w:val="en-US" w:eastAsia="zh-CN"/>
        </w:rPr>
        <w:t>符号与缩略语</w:t>
      </w:r>
      <w:r>
        <w:tab/>
      </w:r>
      <w:r>
        <w:fldChar w:fldCharType="begin"/>
      </w:r>
      <w:r>
        <w:instrText xml:space="preserve"> PAGEREF _Toc25738 \h </w:instrText>
      </w:r>
      <w:r>
        <w:fldChar w:fldCharType="separate"/>
      </w:r>
      <w:r>
        <w:t>3</w:t>
      </w:r>
      <w:r>
        <w:fldChar w:fldCharType="end"/>
      </w:r>
      <w:r>
        <w:rPr>
          <w:rFonts w:ascii="Times New Roman" w:hAnsi="Times New Roman" w:eastAsia="宋体"/>
          <w:color w:val="000000" w:themeColor="text1"/>
          <w14:textFill>
            <w14:solidFill>
              <w14:schemeClr w14:val="tx1"/>
            </w14:solidFill>
          </w14:textFill>
        </w:rPr>
        <w:fldChar w:fldCharType="end"/>
      </w:r>
    </w:p>
    <w:p w14:paraId="54B78DCC">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_Toc24513 </w:instrText>
      </w:r>
      <w:r>
        <w:rPr>
          <w:rFonts w:ascii="Times New Roman" w:hAnsi="Times New Roman" w:eastAsia="宋体"/>
        </w:rPr>
        <w:fldChar w:fldCharType="separate"/>
      </w:r>
      <w:r>
        <w:rPr>
          <w:rFonts w:hint="eastAsia"/>
          <w:highlight w:val="none"/>
          <w:lang w:val="en-US" w:eastAsia="zh-CN"/>
        </w:rPr>
        <w:t>缩略语</w:t>
      </w:r>
      <w:r>
        <w:tab/>
      </w:r>
      <w:r>
        <w:fldChar w:fldCharType="begin"/>
      </w:r>
      <w:r>
        <w:instrText xml:space="preserve"> PAGEREF _Toc24513 \h </w:instrText>
      </w:r>
      <w:r>
        <w:fldChar w:fldCharType="separate"/>
      </w:r>
      <w:r>
        <w:t>3</w:t>
      </w:r>
      <w:r>
        <w:fldChar w:fldCharType="end"/>
      </w:r>
      <w:r>
        <w:rPr>
          <w:rFonts w:ascii="Times New Roman" w:hAnsi="Times New Roman" w:eastAsia="宋体"/>
          <w:color w:val="000000" w:themeColor="text1"/>
          <w14:textFill>
            <w14:solidFill>
              <w14:schemeClr w14:val="tx1"/>
            </w14:solidFill>
          </w14:textFill>
        </w:rPr>
        <w:fldChar w:fldCharType="end"/>
      </w:r>
    </w:p>
    <w:p w14:paraId="5639756B">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_Toc5606 </w:instrText>
      </w:r>
      <w:r>
        <w:rPr>
          <w:rFonts w:ascii="Times New Roman" w:hAnsi="Times New Roman" w:eastAsia="宋体"/>
        </w:rPr>
        <w:fldChar w:fldCharType="separate"/>
      </w:r>
      <w:r>
        <w:rPr>
          <w:rFonts w:hint="eastAsia"/>
        </w:rPr>
        <w:t>符号</w:t>
      </w:r>
      <w:r>
        <w:tab/>
      </w:r>
      <w:r>
        <w:fldChar w:fldCharType="begin"/>
      </w:r>
      <w:r>
        <w:instrText xml:space="preserve"> PAGEREF _Toc5606 \h </w:instrText>
      </w:r>
      <w:r>
        <w:fldChar w:fldCharType="separate"/>
      </w:r>
      <w:r>
        <w:t>3</w:t>
      </w:r>
      <w:r>
        <w:fldChar w:fldCharType="end"/>
      </w:r>
      <w:r>
        <w:rPr>
          <w:rFonts w:ascii="Times New Roman" w:hAnsi="Times New Roman" w:eastAsia="宋体"/>
          <w:color w:val="000000" w:themeColor="text1"/>
          <w14:textFill>
            <w14:solidFill>
              <w14:schemeClr w14:val="tx1"/>
            </w14:solidFill>
          </w14:textFill>
        </w:rPr>
        <w:fldChar w:fldCharType="end"/>
      </w:r>
    </w:p>
    <w:p w14:paraId="212B5DA4">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_Toc27978 </w:instrText>
      </w:r>
      <w:r>
        <w:rPr>
          <w:rFonts w:ascii="Times New Roman" w:hAnsi="Times New Roman" w:eastAsia="宋体"/>
        </w:rPr>
        <w:fldChar w:fldCharType="separate"/>
      </w:r>
      <w:r>
        <w:rPr>
          <w:rFonts w:hint="eastAsia"/>
          <w:lang w:eastAsia="zh-CN"/>
        </w:rPr>
        <w:t>第</w:t>
      </w:r>
      <w:r>
        <w:rPr>
          <w:rFonts w:hint="eastAsia"/>
          <w:lang w:val="en-US" w:eastAsia="zh-CN"/>
        </w:rPr>
        <w:t>3</w:t>
      </w:r>
      <w:r>
        <w:rPr>
          <w:rFonts w:hint="eastAsia"/>
          <w:lang w:eastAsia="zh-CN"/>
        </w:rPr>
        <w:t>章</w:t>
      </w:r>
      <w:r>
        <w:t xml:space="preserve">  </w:t>
      </w:r>
      <w:r>
        <w:rPr>
          <w:rFonts w:hint="eastAsia"/>
          <w:lang w:val="en-US" w:eastAsia="zh-CN"/>
        </w:rPr>
        <w:t>基本规定</w:t>
      </w:r>
      <w:r>
        <w:tab/>
      </w:r>
      <w:r>
        <w:fldChar w:fldCharType="begin"/>
      </w:r>
      <w:r>
        <w:instrText xml:space="preserve"> PAGEREF _Toc27978 \h </w:instrText>
      </w:r>
      <w:r>
        <w:fldChar w:fldCharType="separate"/>
      </w:r>
      <w:r>
        <w:t>5</w:t>
      </w:r>
      <w:r>
        <w:fldChar w:fldCharType="end"/>
      </w:r>
      <w:r>
        <w:rPr>
          <w:rFonts w:ascii="Times New Roman" w:hAnsi="Times New Roman" w:eastAsia="宋体"/>
          <w:color w:val="000000" w:themeColor="text1"/>
          <w14:textFill>
            <w14:solidFill>
              <w14:schemeClr w14:val="tx1"/>
            </w14:solidFill>
          </w14:textFill>
        </w:rPr>
        <w:fldChar w:fldCharType="end"/>
      </w:r>
    </w:p>
    <w:p w14:paraId="410569F2">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_Toc26140 </w:instrText>
      </w:r>
      <w:r>
        <w:rPr>
          <w:rFonts w:ascii="Times New Roman" w:hAnsi="Times New Roman" w:eastAsia="宋体"/>
        </w:rPr>
        <w:fldChar w:fldCharType="separate"/>
      </w:r>
      <w:r>
        <w:rPr>
          <w:rFonts w:hint="eastAsia"/>
          <w:lang w:eastAsia="zh-CN"/>
        </w:rPr>
        <w:t>第</w:t>
      </w:r>
      <w:r>
        <w:rPr>
          <w:rFonts w:hint="eastAsia"/>
          <w:lang w:val="en-US" w:eastAsia="zh-CN"/>
        </w:rPr>
        <w:t>4</w:t>
      </w:r>
      <w:r>
        <w:rPr>
          <w:rFonts w:hint="eastAsia"/>
          <w:lang w:eastAsia="zh-CN"/>
        </w:rPr>
        <w:t>章</w:t>
      </w:r>
      <w:r>
        <w:t xml:space="preserve">  </w:t>
      </w:r>
      <w:r>
        <w:rPr>
          <w:rFonts w:hint="eastAsia"/>
          <w:lang w:val="en-US" w:eastAsia="zh-CN"/>
        </w:rPr>
        <w:t>材料</w:t>
      </w:r>
      <w:r>
        <w:tab/>
      </w:r>
      <w:r>
        <w:fldChar w:fldCharType="begin"/>
      </w:r>
      <w:r>
        <w:instrText xml:space="preserve"> PAGEREF _Toc26140 \h </w:instrText>
      </w:r>
      <w:r>
        <w:fldChar w:fldCharType="separate"/>
      </w:r>
      <w:r>
        <w:t>8</w:t>
      </w:r>
      <w:r>
        <w:fldChar w:fldCharType="end"/>
      </w:r>
      <w:r>
        <w:rPr>
          <w:rFonts w:ascii="Times New Roman" w:hAnsi="Times New Roman" w:eastAsia="宋体"/>
          <w:color w:val="000000" w:themeColor="text1"/>
          <w14:textFill>
            <w14:solidFill>
              <w14:schemeClr w14:val="tx1"/>
            </w14:solidFill>
          </w14:textFill>
        </w:rPr>
        <w:fldChar w:fldCharType="end"/>
      </w:r>
    </w:p>
    <w:p w14:paraId="3983002E">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_Toc31063 </w:instrText>
      </w:r>
      <w:r>
        <w:rPr>
          <w:rFonts w:ascii="Times New Roman" w:hAnsi="Times New Roman" w:eastAsia="宋体"/>
        </w:rPr>
        <w:fldChar w:fldCharType="separate"/>
      </w:r>
      <w:r>
        <w:rPr>
          <w:rFonts w:hint="eastAsia" w:ascii="Times New Roman" w:hAnsi="Times New Roman" w:eastAsia="宋体"/>
          <w:szCs w:val="30"/>
          <w:lang w:eastAsia="zh-CN"/>
        </w:rPr>
        <w:t>第</w:t>
      </w:r>
      <w:r>
        <w:rPr>
          <w:rFonts w:hint="eastAsia"/>
          <w:szCs w:val="30"/>
          <w:lang w:val="en-US" w:eastAsia="zh-CN"/>
        </w:rPr>
        <w:t>5</w:t>
      </w:r>
      <w:r>
        <w:rPr>
          <w:rFonts w:hint="eastAsia" w:ascii="Times New Roman" w:hAnsi="Times New Roman" w:eastAsia="宋体"/>
          <w:szCs w:val="30"/>
          <w:lang w:eastAsia="zh-CN"/>
        </w:rPr>
        <w:t>章</w:t>
      </w:r>
      <w:r>
        <w:rPr>
          <w:rFonts w:ascii="Times New Roman" w:hAnsi="Times New Roman"/>
        </w:rPr>
        <w:t xml:space="preserve">  </w:t>
      </w:r>
      <w:r>
        <w:rPr>
          <w:rFonts w:hint="eastAsia" w:ascii="Times New Roman" w:hAnsi="Times New Roman" w:eastAsia="宋体"/>
          <w:lang w:val="en-US" w:eastAsia="zh-CN"/>
        </w:rPr>
        <w:t>设计</w:t>
      </w:r>
      <w:r>
        <w:tab/>
      </w:r>
      <w:r>
        <w:fldChar w:fldCharType="begin"/>
      </w:r>
      <w:r>
        <w:instrText xml:space="preserve"> PAGEREF _Toc31063 \h </w:instrText>
      </w:r>
      <w:r>
        <w:fldChar w:fldCharType="separate"/>
      </w:r>
      <w:r>
        <w:t>10</w:t>
      </w:r>
      <w:r>
        <w:fldChar w:fldCharType="end"/>
      </w:r>
      <w:r>
        <w:rPr>
          <w:rFonts w:ascii="Times New Roman" w:hAnsi="Times New Roman" w:eastAsia="宋体"/>
          <w:color w:val="000000" w:themeColor="text1"/>
          <w14:textFill>
            <w14:solidFill>
              <w14:schemeClr w14:val="tx1"/>
            </w14:solidFill>
          </w14:textFill>
        </w:rPr>
        <w:fldChar w:fldCharType="end"/>
      </w:r>
    </w:p>
    <w:p w14:paraId="4B6AF8C1">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_Toc5758 </w:instrText>
      </w:r>
      <w:r>
        <w:rPr>
          <w:rFonts w:ascii="Times New Roman" w:hAnsi="Times New Roman" w:eastAsia="宋体"/>
        </w:rPr>
        <w:fldChar w:fldCharType="separate"/>
      </w:r>
      <w:r>
        <w:rPr>
          <w:rFonts w:hint="eastAsia"/>
        </w:rPr>
        <w:t>5</w:t>
      </w:r>
      <w:r>
        <w:t xml:space="preserve">.1  </w:t>
      </w:r>
      <w:r>
        <w:rPr>
          <w:rFonts w:hint="eastAsia"/>
        </w:rPr>
        <w:t>一般规定</w:t>
      </w:r>
      <w:r>
        <w:tab/>
      </w:r>
      <w:r>
        <w:fldChar w:fldCharType="begin"/>
      </w:r>
      <w:r>
        <w:instrText xml:space="preserve"> PAGEREF _Toc5758 \h </w:instrText>
      </w:r>
      <w:r>
        <w:fldChar w:fldCharType="separate"/>
      </w:r>
      <w:r>
        <w:t>10</w:t>
      </w:r>
      <w:r>
        <w:fldChar w:fldCharType="end"/>
      </w:r>
      <w:r>
        <w:rPr>
          <w:rFonts w:ascii="Times New Roman" w:hAnsi="Times New Roman" w:eastAsia="宋体"/>
          <w:color w:val="000000" w:themeColor="text1"/>
          <w14:textFill>
            <w14:solidFill>
              <w14:schemeClr w14:val="tx1"/>
            </w14:solidFill>
          </w14:textFill>
        </w:rPr>
        <w:fldChar w:fldCharType="end"/>
      </w:r>
    </w:p>
    <w:p w14:paraId="003EAECD">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_Toc2741 </w:instrText>
      </w:r>
      <w:r>
        <w:rPr>
          <w:rFonts w:ascii="Times New Roman" w:hAnsi="Times New Roman" w:eastAsia="宋体"/>
        </w:rPr>
        <w:fldChar w:fldCharType="separate"/>
      </w:r>
      <w:r>
        <w:rPr>
          <w:rFonts w:hint="default" w:ascii="Times New Roman" w:hAnsi="Times New Roman" w:cs="Times New Roman"/>
        </w:rPr>
        <w:t>5.2  荷载与荷载组合</w:t>
      </w:r>
      <w:r>
        <w:tab/>
      </w:r>
      <w:r>
        <w:fldChar w:fldCharType="begin"/>
      </w:r>
      <w:r>
        <w:instrText xml:space="preserve"> PAGEREF _Toc2741 \h </w:instrText>
      </w:r>
      <w:r>
        <w:fldChar w:fldCharType="separate"/>
      </w:r>
      <w:r>
        <w:t>11</w:t>
      </w:r>
      <w:r>
        <w:fldChar w:fldCharType="end"/>
      </w:r>
      <w:r>
        <w:rPr>
          <w:rFonts w:ascii="Times New Roman" w:hAnsi="Times New Roman" w:eastAsia="宋体"/>
          <w:color w:val="000000" w:themeColor="text1"/>
          <w14:textFill>
            <w14:solidFill>
              <w14:schemeClr w14:val="tx1"/>
            </w14:solidFill>
          </w14:textFill>
        </w:rPr>
        <w:fldChar w:fldCharType="end"/>
      </w:r>
    </w:p>
    <w:p w14:paraId="7CE03191">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_Toc6777 </w:instrText>
      </w:r>
      <w:r>
        <w:rPr>
          <w:rFonts w:ascii="Times New Roman" w:hAnsi="Times New Roman" w:eastAsia="宋体"/>
        </w:rPr>
        <w:fldChar w:fldCharType="separate"/>
      </w:r>
      <w:r>
        <w:rPr>
          <w:rFonts w:hint="eastAsia"/>
        </w:rPr>
        <w:t>5</w:t>
      </w:r>
      <w:r>
        <w:t>.</w:t>
      </w:r>
      <w:r>
        <w:rPr>
          <w:rFonts w:hint="eastAsia"/>
        </w:rPr>
        <w:t>3</w:t>
      </w:r>
      <w:r>
        <w:t xml:space="preserve">  </w:t>
      </w:r>
      <w:r>
        <w:rPr>
          <w:rFonts w:hint="eastAsia"/>
          <w:lang w:val="en-US" w:eastAsia="zh-CN"/>
        </w:rPr>
        <w:t>平台主体</w:t>
      </w:r>
      <w:r>
        <w:rPr>
          <w:rFonts w:hint="eastAsia"/>
        </w:rPr>
        <w:t>结构设计</w:t>
      </w:r>
      <w:r>
        <w:tab/>
      </w:r>
      <w:r>
        <w:fldChar w:fldCharType="begin"/>
      </w:r>
      <w:r>
        <w:instrText xml:space="preserve"> PAGEREF _Toc6777 \h </w:instrText>
      </w:r>
      <w:r>
        <w:fldChar w:fldCharType="separate"/>
      </w:r>
      <w:r>
        <w:t>13</w:t>
      </w:r>
      <w:r>
        <w:fldChar w:fldCharType="end"/>
      </w:r>
      <w:r>
        <w:rPr>
          <w:rFonts w:ascii="Times New Roman" w:hAnsi="Times New Roman" w:eastAsia="宋体"/>
          <w:color w:val="000000" w:themeColor="text1"/>
          <w14:textFill>
            <w14:solidFill>
              <w14:schemeClr w14:val="tx1"/>
            </w14:solidFill>
          </w14:textFill>
        </w:rPr>
        <w:fldChar w:fldCharType="end"/>
      </w:r>
    </w:p>
    <w:p w14:paraId="316DCE42">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_Toc30626 </w:instrText>
      </w:r>
      <w:r>
        <w:rPr>
          <w:rFonts w:ascii="Times New Roman" w:hAnsi="Times New Roman" w:eastAsia="宋体"/>
        </w:rPr>
        <w:fldChar w:fldCharType="separate"/>
      </w:r>
      <w:r>
        <w:rPr>
          <w:rFonts w:hint="eastAsia"/>
          <w:lang w:val="en-US" w:eastAsia="zh-CN"/>
        </w:rPr>
        <w:t>5</w:t>
      </w:r>
      <w:r>
        <w:t>.</w:t>
      </w:r>
      <w:r>
        <w:rPr>
          <w:rFonts w:hint="eastAsia"/>
          <w:lang w:val="en-US" w:eastAsia="zh-CN"/>
        </w:rPr>
        <w:t>4</w:t>
      </w:r>
      <w:r>
        <w:t xml:space="preserve">  </w:t>
      </w:r>
      <w:r>
        <w:rPr>
          <w:rFonts w:hint="eastAsia"/>
          <w:lang w:val="en-US" w:eastAsia="zh-CN"/>
        </w:rPr>
        <w:t>动力系统设计</w:t>
      </w:r>
      <w:r>
        <w:tab/>
      </w:r>
      <w:r>
        <w:fldChar w:fldCharType="begin"/>
      </w:r>
      <w:r>
        <w:instrText xml:space="preserve"> PAGEREF _Toc30626 \h </w:instrText>
      </w:r>
      <w:r>
        <w:fldChar w:fldCharType="separate"/>
      </w:r>
      <w:r>
        <w:t>15</w:t>
      </w:r>
      <w:r>
        <w:fldChar w:fldCharType="end"/>
      </w:r>
      <w:r>
        <w:rPr>
          <w:rFonts w:ascii="Times New Roman" w:hAnsi="Times New Roman" w:eastAsia="宋体"/>
          <w:color w:val="000000" w:themeColor="text1"/>
          <w14:textFill>
            <w14:solidFill>
              <w14:schemeClr w14:val="tx1"/>
            </w14:solidFill>
          </w14:textFill>
        </w:rPr>
        <w:fldChar w:fldCharType="end"/>
      </w:r>
    </w:p>
    <w:p w14:paraId="62808031">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_Toc1461 </w:instrText>
      </w:r>
      <w:r>
        <w:rPr>
          <w:rFonts w:ascii="Times New Roman" w:hAnsi="Times New Roman" w:eastAsia="宋体"/>
        </w:rPr>
        <w:fldChar w:fldCharType="separate"/>
      </w:r>
      <w:r>
        <w:rPr>
          <w:rFonts w:hint="eastAsia"/>
          <w:lang w:val="en-US" w:eastAsia="zh-CN"/>
        </w:rPr>
        <w:t>5</w:t>
      </w:r>
      <w:r>
        <w:t>.</w:t>
      </w:r>
      <w:r>
        <w:rPr>
          <w:rFonts w:hint="eastAsia"/>
          <w:lang w:val="en-US" w:eastAsia="zh-CN"/>
        </w:rPr>
        <w:t>5</w:t>
      </w:r>
      <w:r>
        <w:t xml:space="preserve">  </w:t>
      </w:r>
      <w:r>
        <w:rPr>
          <w:rFonts w:hint="eastAsia"/>
          <w:lang w:val="en-US" w:eastAsia="zh-CN"/>
        </w:rPr>
        <w:t>模板与作业附属系统设计</w:t>
      </w:r>
      <w:r>
        <w:tab/>
      </w:r>
      <w:r>
        <w:fldChar w:fldCharType="begin"/>
      </w:r>
      <w:r>
        <w:instrText xml:space="preserve"> PAGEREF _Toc1461 \h </w:instrText>
      </w:r>
      <w:r>
        <w:fldChar w:fldCharType="separate"/>
      </w:r>
      <w:r>
        <w:t>17</w:t>
      </w:r>
      <w:r>
        <w:fldChar w:fldCharType="end"/>
      </w:r>
      <w:r>
        <w:rPr>
          <w:rFonts w:ascii="Times New Roman" w:hAnsi="Times New Roman" w:eastAsia="宋体"/>
          <w:color w:val="000000" w:themeColor="text1"/>
          <w14:textFill>
            <w14:solidFill>
              <w14:schemeClr w14:val="tx1"/>
            </w14:solidFill>
          </w14:textFill>
        </w:rPr>
        <w:fldChar w:fldCharType="end"/>
      </w:r>
    </w:p>
    <w:p w14:paraId="7932DED8">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_Toc18947 </w:instrText>
      </w:r>
      <w:r>
        <w:rPr>
          <w:rFonts w:ascii="Times New Roman" w:hAnsi="Times New Roman" w:eastAsia="宋体"/>
        </w:rPr>
        <w:fldChar w:fldCharType="separate"/>
      </w:r>
      <w:r>
        <w:rPr>
          <w:rFonts w:hint="eastAsia"/>
          <w:lang w:val="en-US" w:eastAsia="zh-CN"/>
        </w:rPr>
        <w:t>5</w:t>
      </w:r>
      <w:r>
        <w:t>.</w:t>
      </w:r>
      <w:r>
        <w:rPr>
          <w:rFonts w:hint="eastAsia"/>
          <w:lang w:val="en-US" w:eastAsia="zh-CN"/>
        </w:rPr>
        <w:t>6</w:t>
      </w:r>
      <w:r>
        <w:t xml:space="preserve">  </w:t>
      </w:r>
      <w:r>
        <w:rPr>
          <w:rFonts w:hint="eastAsia"/>
          <w:lang w:val="en-US" w:eastAsia="zh-CN"/>
        </w:rPr>
        <w:t>电气系统设计</w:t>
      </w:r>
      <w:r>
        <w:tab/>
      </w:r>
      <w:r>
        <w:fldChar w:fldCharType="begin"/>
      </w:r>
      <w:r>
        <w:instrText xml:space="preserve"> PAGEREF _Toc18947 \h </w:instrText>
      </w:r>
      <w:r>
        <w:fldChar w:fldCharType="separate"/>
      </w:r>
      <w:r>
        <w:t>21</w:t>
      </w:r>
      <w:r>
        <w:fldChar w:fldCharType="end"/>
      </w:r>
      <w:r>
        <w:rPr>
          <w:rFonts w:ascii="Times New Roman" w:hAnsi="Times New Roman" w:eastAsia="宋体"/>
          <w:color w:val="000000" w:themeColor="text1"/>
          <w14:textFill>
            <w14:solidFill>
              <w14:schemeClr w14:val="tx1"/>
            </w14:solidFill>
          </w14:textFill>
        </w:rPr>
        <w:fldChar w:fldCharType="end"/>
      </w:r>
    </w:p>
    <w:p w14:paraId="23B5F554">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_Toc21497 </w:instrText>
      </w:r>
      <w:r>
        <w:rPr>
          <w:rFonts w:ascii="Times New Roman" w:hAnsi="Times New Roman" w:eastAsia="宋体"/>
        </w:rPr>
        <w:fldChar w:fldCharType="separate"/>
      </w:r>
      <w:r>
        <w:rPr>
          <w:rFonts w:hint="eastAsia"/>
          <w:lang w:val="en-US" w:eastAsia="zh-CN"/>
        </w:rPr>
        <w:t>5</w:t>
      </w:r>
      <w:r>
        <w:t>.</w:t>
      </w:r>
      <w:r>
        <w:rPr>
          <w:rFonts w:hint="eastAsia"/>
          <w:lang w:val="en-US" w:eastAsia="zh-CN"/>
        </w:rPr>
        <w:t>7</w:t>
      </w:r>
      <w:r>
        <w:t xml:space="preserve">  </w:t>
      </w:r>
      <w:r>
        <w:rPr>
          <w:rFonts w:hint="eastAsia"/>
          <w:lang w:val="en-US" w:eastAsia="zh-CN"/>
        </w:rPr>
        <w:t>智能控制系统设计</w:t>
      </w:r>
      <w:r>
        <w:tab/>
      </w:r>
      <w:r>
        <w:fldChar w:fldCharType="begin"/>
      </w:r>
      <w:r>
        <w:instrText xml:space="preserve"> PAGEREF _Toc21497 \h </w:instrText>
      </w:r>
      <w:r>
        <w:fldChar w:fldCharType="separate"/>
      </w:r>
      <w:r>
        <w:t>23</w:t>
      </w:r>
      <w:r>
        <w:fldChar w:fldCharType="end"/>
      </w:r>
      <w:r>
        <w:rPr>
          <w:rFonts w:ascii="Times New Roman" w:hAnsi="Times New Roman" w:eastAsia="宋体"/>
          <w:color w:val="000000" w:themeColor="text1"/>
          <w14:textFill>
            <w14:solidFill>
              <w14:schemeClr w14:val="tx1"/>
            </w14:solidFill>
          </w14:textFill>
        </w:rPr>
        <w:fldChar w:fldCharType="end"/>
      </w:r>
    </w:p>
    <w:p w14:paraId="7151253B">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_Toc2603 </w:instrText>
      </w:r>
      <w:r>
        <w:rPr>
          <w:rFonts w:ascii="Times New Roman" w:hAnsi="Times New Roman" w:eastAsia="宋体"/>
        </w:rPr>
        <w:fldChar w:fldCharType="separate"/>
      </w:r>
      <w:r>
        <w:rPr>
          <w:rFonts w:hint="eastAsia"/>
        </w:rPr>
        <w:t>5</w:t>
      </w:r>
      <w:r>
        <w:t>.</w:t>
      </w:r>
      <w:r>
        <w:rPr>
          <w:rFonts w:hint="eastAsia"/>
        </w:rPr>
        <w:t>8</w:t>
      </w:r>
      <w:r>
        <w:t xml:space="preserve">  </w:t>
      </w:r>
      <w:r>
        <w:rPr>
          <w:rFonts w:hint="eastAsia"/>
        </w:rPr>
        <w:t>绿色低碳设计</w:t>
      </w:r>
      <w:r>
        <w:tab/>
      </w:r>
      <w:r>
        <w:fldChar w:fldCharType="begin"/>
      </w:r>
      <w:r>
        <w:instrText xml:space="preserve"> PAGEREF _Toc2603 \h </w:instrText>
      </w:r>
      <w:r>
        <w:fldChar w:fldCharType="separate"/>
      </w:r>
      <w:r>
        <w:t>25</w:t>
      </w:r>
      <w:r>
        <w:fldChar w:fldCharType="end"/>
      </w:r>
      <w:r>
        <w:rPr>
          <w:rFonts w:ascii="Times New Roman" w:hAnsi="Times New Roman" w:eastAsia="宋体"/>
          <w:color w:val="000000" w:themeColor="text1"/>
          <w14:textFill>
            <w14:solidFill>
              <w14:schemeClr w14:val="tx1"/>
            </w14:solidFill>
          </w14:textFill>
        </w:rPr>
        <w:fldChar w:fldCharType="end"/>
      </w:r>
    </w:p>
    <w:p w14:paraId="7799AD56">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_Toc8518 </w:instrText>
      </w:r>
      <w:r>
        <w:rPr>
          <w:rFonts w:ascii="Times New Roman" w:hAnsi="Times New Roman" w:eastAsia="宋体"/>
        </w:rPr>
        <w:fldChar w:fldCharType="separate"/>
      </w:r>
      <w:r>
        <w:rPr>
          <w:rFonts w:hint="eastAsia"/>
        </w:rPr>
        <w:t>5</w:t>
      </w:r>
      <w:r>
        <w:t>.</w:t>
      </w:r>
      <w:r>
        <w:rPr>
          <w:rFonts w:hint="eastAsia"/>
        </w:rPr>
        <w:t>9</w:t>
      </w:r>
      <w:r>
        <w:t xml:space="preserve">  </w:t>
      </w:r>
      <w:r>
        <w:rPr>
          <w:rFonts w:hint="eastAsia"/>
        </w:rPr>
        <w:t>设计文件要求</w:t>
      </w:r>
      <w:r>
        <w:tab/>
      </w:r>
      <w:r>
        <w:fldChar w:fldCharType="begin"/>
      </w:r>
      <w:r>
        <w:instrText xml:space="preserve"> PAGEREF _Toc8518 \h </w:instrText>
      </w:r>
      <w:r>
        <w:fldChar w:fldCharType="separate"/>
      </w:r>
      <w:r>
        <w:t>25</w:t>
      </w:r>
      <w:r>
        <w:fldChar w:fldCharType="end"/>
      </w:r>
      <w:r>
        <w:rPr>
          <w:rFonts w:ascii="Times New Roman" w:hAnsi="Times New Roman" w:eastAsia="宋体"/>
          <w:color w:val="000000" w:themeColor="text1"/>
          <w14:textFill>
            <w14:solidFill>
              <w14:schemeClr w14:val="tx1"/>
            </w14:solidFill>
          </w14:textFill>
        </w:rPr>
        <w:fldChar w:fldCharType="end"/>
      </w:r>
    </w:p>
    <w:p w14:paraId="0ACEC343">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_Toc19728 </w:instrText>
      </w:r>
      <w:r>
        <w:rPr>
          <w:rFonts w:ascii="Times New Roman" w:hAnsi="Times New Roman" w:eastAsia="宋体"/>
        </w:rPr>
        <w:fldChar w:fldCharType="separate"/>
      </w:r>
      <w:r>
        <w:rPr>
          <w:rFonts w:hint="eastAsia"/>
          <w:lang w:val="en-US" w:eastAsia="zh-CN"/>
        </w:rPr>
        <w:t>第6章</w:t>
      </w:r>
      <w:r>
        <w:t xml:space="preserve">  </w:t>
      </w:r>
      <w:r>
        <w:rPr>
          <w:rFonts w:hint="eastAsia"/>
          <w:lang w:val="en-US" w:eastAsia="zh-CN"/>
        </w:rPr>
        <w:t>智能装备集成与数智化技术应用</w:t>
      </w:r>
      <w:r>
        <w:tab/>
      </w:r>
      <w:r>
        <w:fldChar w:fldCharType="begin"/>
      </w:r>
      <w:r>
        <w:instrText xml:space="preserve"> PAGEREF _Toc19728 \h </w:instrText>
      </w:r>
      <w:r>
        <w:fldChar w:fldCharType="separate"/>
      </w:r>
      <w:r>
        <w:t>27</w:t>
      </w:r>
      <w:r>
        <w:fldChar w:fldCharType="end"/>
      </w:r>
      <w:r>
        <w:rPr>
          <w:rFonts w:ascii="Times New Roman" w:hAnsi="Times New Roman" w:eastAsia="宋体"/>
          <w:color w:val="000000" w:themeColor="text1"/>
          <w14:textFill>
            <w14:solidFill>
              <w14:schemeClr w14:val="tx1"/>
            </w14:solidFill>
          </w14:textFill>
        </w:rPr>
        <w:fldChar w:fldCharType="end"/>
      </w:r>
    </w:p>
    <w:p w14:paraId="08A019B4">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_Toc23507 </w:instrText>
      </w:r>
      <w:r>
        <w:rPr>
          <w:rFonts w:ascii="Times New Roman" w:hAnsi="Times New Roman" w:eastAsia="宋体"/>
        </w:rPr>
        <w:fldChar w:fldCharType="separate"/>
      </w:r>
      <w:r>
        <w:rPr>
          <w:rFonts w:hint="eastAsia"/>
          <w:lang w:val="en-US" w:eastAsia="zh-CN"/>
        </w:rPr>
        <w:t>6</w:t>
      </w:r>
      <w:r>
        <w:t xml:space="preserve">.1  </w:t>
      </w:r>
      <w:r>
        <w:rPr>
          <w:rFonts w:hint="eastAsia"/>
          <w:lang w:val="en-US" w:eastAsia="zh-CN"/>
        </w:rPr>
        <w:t>智能装备集成与控制</w:t>
      </w:r>
      <w:r>
        <w:tab/>
      </w:r>
      <w:r>
        <w:fldChar w:fldCharType="begin"/>
      </w:r>
      <w:r>
        <w:instrText xml:space="preserve"> PAGEREF _Toc23507 \h </w:instrText>
      </w:r>
      <w:r>
        <w:fldChar w:fldCharType="separate"/>
      </w:r>
      <w:r>
        <w:t>27</w:t>
      </w:r>
      <w:r>
        <w:fldChar w:fldCharType="end"/>
      </w:r>
      <w:r>
        <w:rPr>
          <w:rFonts w:ascii="Times New Roman" w:hAnsi="Times New Roman" w:eastAsia="宋体"/>
          <w:color w:val="000000" w:themeColor="text1"/>
          <w14:textFill>
            <w14:solidFill>
              <w14:schemeClr w14:val="tx1"/>
            </w14:solidFill>
          </w14:textFill>
        </w:rPr>
        <w:fldChar w:fldCharType="end"/>
      </w:r>
    </w:p>
    <w:p w14:paraId="3E15F169">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_Toc2266 </w:instrText>
      </w:r>
      <w:r>
        <w:rPr>
          <w:rFonts w:ascii="Times New Roman" w:hAnsi="Times New Roman" w:eastAsia="宋体"/>
        </w:rPr>
        <w:fldChar w:fldCharType="separate"/>
      </w:r>
      <w:r>
        <w:rPr>
          <w:rFonts w:hint="eastAsia"/>
          <w:lang w:val="en-US" w:eastAsia="zh-CN"/>
        </w:rPr>
        <w:t>6</w:t>
      </w:r>
      <w:r>
        <w:t>.</w:t>
      </w:r>
      <w:r>
        <w:rPr>
          <w:rFonts w:hint="eastAsia"/>
          <w:lang w:val="en-US" w:eastAsia="zh-CN"/>
        </w:rPr>
        <w:t>2</w:t>
      </w:r>
      <w:r>
        <w:t xml:space="preserve">  </w:t>
      </w:r>
      <w:r>
        <w:rPr>
          <w:rFonts w:hint="eastAsia"/>
          <w:lang w:val="en-US" w:eastAsia="zh-CN"/>
        </w:rPr>
        <w:t>建筑机器人协同控制</w:t>
      </w:r>
      <w:r>
        <w:tab/>
      </w:r>
      <w:r>
        <w:fldChar w:fldCharType="begin"/>
      </w:r>
      <w:r>
        <w:instrText xml:space="preserve"> PAGEREF _Toc2266 \h </w:instrText>
      </w:r>
      <w:r>
        <w:fldChar w:fldCharType="separate"/>
      </w:r>
      <w:r>
        <w:t>27</w:t>
      </w:r>
      <w:r>
        <w:fldChar w:fldCharType="end"/>
      </w:r>
      <w:r>
        <w:rPr>
          <w:rFonts w:ascii="Times New Roman" w:hAnsi="Times New Roman" w:eastAsia="宋体"/>
          <w:color w:val="000000" w:themeColor="text1"/>
          <w14:textFill>
            <w14:solidFill>
              <w14:schemeClr w14:val="tx1"/>
            </w14:solidFill>
          </w14:textFill>
        </w:rPr>
        <w:fldChar w:fldCharType="end"/>
      </w:r>
    </w:p>
    <w:p w14:paraId="094AAB4D">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_Toc1733 </w:instrText>
      </w:r>
      <w:r>
        <w:rPr>
          <w:rFonts w:ascii="Times New Roman" w:hAnsi="Times New Roman" w:eastAsia="宋体"/>
        </w:rPr>
        <w:fldChar w:fldCharType="separate"/>
      </w:r>
      <w:r>
        <w:rPr>
          <w:rFonts w:hint="eastAsia"/>
          <w:lang w:val="en-US" w:eastAsia="zh-CN"/>
        </w:rPr>
        <w:t>6</w:t>
      </w:r>
      <w:r>
        <w:t>.</w:t>
      </w:r>
      <w:r>
        <w:rPr>
          <w:rFonts w:hint="eastAsia"/>
          <w:lang w:val="en-US" w:eastAsia="zh-CN"/>
        </w:rPr>
        <w:t>3</w:t>
      </w:r>
      <w:r>
        <w:t xml:space="preserve">  </w:t>
      </w:r>
      <w:r>
        <w:rPr>
          <w:rFonts w:hint="eastAsia"/>
          <w:lang w:val="en-US" w:eastAsia="zh-CN"/>
        </w:rPr>
        <w:t>BIM与数字孪生</w:t>
      </w:r>
      <w:r>
        <w:tab/>
      </w:r>
      <w:r>
        <w:fldChar w:fldCharType="begin"/>
      </w:r>
      <w:r>
        <w:instrText xml:space="preserve"> PAGEREF _Toc1733 \h </w:instrText>
      </w:r>
      <w:r>
        <w:fldChar w:fldCharType="separate"/>
      </w:r>
      <w:r>
        <w:t>28</w:t>
      </w:r>
      <w:r>
        <w:fldChar w:fldCharType="end"/>
      </w:r>
      <w:r>
        <w:rPr>
          <w:rFonts w:ascii="Times New Roman" w:hAnsi="Times New Roman" w:eastAsia="宋体"/>
          <w:color w:val="000000" w:themeColor="text1"/>
          <w14:textFill>
            <w14:solidFill>
              <w14:schemeClr w14:val="tx1"/>
            </w14:solidFill>
          </w14:textFill>
        </w:rPr>
        <w:fldChar w:fldCharType="end"/>
      </w:r>
    </w:p>
    <w:p w14:paraId="14A4954B">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_Toc2862 </w:instrText>
      </w:r>
      <w:r>
        <w:rPr>
          <w:rFonts w:ascii="Times New Roman" w:hAnsi="Times New Roman" w:eastAsia="宋体"/>
        </w:rPr>
        <w:fldChar w:fldCharType="separate"/>
      </w:r>
      <w:r>
        <w:rPr>
          <w:rFonts w:hint="eastAsia"/>
          <w:lang w:val="en-US" w:eastAsia="zh-CN"/>
        </w:rPr>
        <w:t>6</w:t>
      </w:r>
      <w:r>
        <w:t>.</w:t>
      </w:r>
      <w:r>
        <w:rPr>
          <w:rFonts w:hint="eastAsia"/>
          <w:lang w:val="en-US" w:eastAsia="zh-CN"/>
        </w:rPr>
        <w:t>4</w:t>
      </w:r>
      <w:r>
        <w:t xml:space="preserve">  </w:t>
      </w:r>
      <w:r>
        <w:rPr>
          <w:rFonts w:hint="eastAsia"/>
          <w:lang w:val="en-US" w:eastAsia="zh-CN"/>
        </w:rPr>
        <w:t>AI视觉与智能监控</w:t>
      </w:r>
      <w:r>
        <w:tab/>
      </w:r>
      <w:r>
        <w:fldChar w:fldCharType="begin"/>
      </w:r>
      <w:r>
        <w:instrText xml:space="preserve"> PAGEREF _Toc2862 \h </w:instrText>
      </w:r>
      <w:r>
        <w:fldChar w:fldCharType="separate"/>
      </w:r>
      <w:r>
        <w:t>30</w:t>
      </w:r>
      <w:r>
        <w:fldChar w:fldCharType="end"/>
      </w:r>
      <w:r>
        <w:rPr>
          <w:rFonts w:ascii="Times New Roman" w:hAnsi="Times New Roman" w:eastAsia="宋体"/>
          <w:color w:val="000000" w:themeColor="text1"/>
          <w14:textFill>
            <w14:solidFill>
              <w14:schemeClr w14:val="tx1"/>
            </w14:solidFill>
          </w14:textFill>
        </w:rPr>
        <w:fldChar w:fldCharType="end"/>
      </w:r>
    </w:p>
    <w:p w14:paraId="400E95B0">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_Toc7137 </w:instrText>
      </w:r>
      <w:r>
        <w:rPr>
          <w:rFonts w:ascii="Times New Roman" w:hAnsi="Times New Roman" w:eastAsia="宋体"/>
        </w:rPr>
        <w:fldChar w:fldCharType="separate"/>
      </w:r>
      <w:r>
        <w:rPr>
          <w:rFonts w:hint="eastAsia"/>
          <w:lang w:val="en-US" w:eastAsia="zh-CN"/>
        </w:rPr>
        <w:t>6</w:t>
      </w:r>
      <w:r>
        <w:t>.</w:t>
      </w:r>
      <w:r>
        <w:rPr>
          <w:rFonts w:hint="eastAsia"/>
          <w:lang w:val="en-US" w:eastAsia="zh-CN"/>
        </w:rPr>
        <w:t>5</w:t>
      </w:r>
      <w:r>
        <w:t xml:space="preserve">  </w:t>
      </w:r>
      <w:r>
        <w:rPr>
          <w:rFonts w:hint="eastAsia"/>
          <w:lang w:val="en-US" w:eastAsia="zh-CN"/>
        </w:rPr>
        <w:t>预测性维护与远程运维</w:t>
      </w:r>
      <w:r>
        <w:tab/>
      </w:r>
      <w:r>
        <w:fldChar w:fldCharType="begin"/>
      </w:r>
      <w:r>
        <w:instrText xml:space="preserve"> PAGEREF _Toc7137 \h </w:instrText>
      </w:r>
      <w:r>
        <w:fldChar w:fldCharType="separate"/>
      </w:r>
      <w:r>
        <w:t>31</w:t>
      </w:r>
      <w:r>
        <w:fldChar w:fldCharType="end"/>
      </w:r>
      <w:r>
        <w:rPr>
          <w:rFonts w:ascii="Times New Roman" w:hAnsi="Times New Roman" w:eastAsia="宋体"/>
          <w:color w:val="000000" w:themeColor="text1"/>
          <w14:textFill>
            <w14:solidFill>
              <w14:schemeClr w14:val="tx1"/>
            </w14:solidFill>
          </w14:textFill>
        </w:rPr>
        <w:fldChar w:fldCharType="end"/>
      </w:r>
    </w:p>
    <w:p w14:paraId="69558FC9">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_Toc1710 </w:instrText>
      </w:r>
      <w:r>
        <w:rPr>
          <w:rFonts w:ascii="Times New Roman" w:hAnsi="Times New Roman" w:eastAsia="宋体"/>
        </w:rPr>
        <w:fldChar w:fldCharType="separate"/>
      </w:r>
      <w:r>
        <w:rPr>
          <w:rFonts w:hint="eastAsia"/>
          <w:lang w:val="en-US" w:eastAsia="zh-CN"/>
        </w:rPr>
        <w:t>6</w:t>
      </w:r>
      <w:r>
        <w:t>.</w:t>
      </w:r>
      <w:r>
        <w:rPr>
          <w:rFonts w:hint="eastAsia"/>
          <w:lang w:val="en-US" w:eastAsia="zh-CN"/>
        </w:rPr>
        <w:t>6</w:t>
      </w:r>
      <w:r>
        <w:t xml:space="preserve">  </w:t>
      </w:r>
      <w:r>
        <w:rPr>
          <w:rFonts w:hint="eastAsia"/>
          <w:lang w:val="en-US" w:eastAsia="zh-CN"/>
        </w:rPr>
        <w:t>平台全生命周期数据管理</w:t>
      </w:r>
      <w:r>
        <w:tab/>
      </w:r>
      <w:r>
        <w:fldChar w:fldCharType="begin"/>
      </w:r>
      <w:r>
        <w:instrText xml:space="preserve"> PAGEREF _Toc1710 \h </w:instrText>
      </w:r>
      <w:r>
        <w:fldChar w:fldCharType="separate"/>
      </w:r>
      <w:r>
        <w:t>31</w:t>
      </w:r>
      <w:r>
        <w:fldChar w:fldCharType="end"/>
      </w:r>
      <w:r>
        <w:rPr>
          <w:rFonts w:ascii="Times New Roman" w:hAnsi="Times New Roman" w:eastAsia="宋体"/>
          <w:color w:val="000000" w:themeColor="text1"/>
          <w14:textFill>
            <w14:solidFill>
              <w14:schemeClr w14:val="tx1"/>
            </w14:solidFill>
          </w14:textFill>
        </w:rPr>
        <w:fldChar w:fldCharType="end"/>
      </w:r>
    </w:p>
    <w:p w14:paraId="36AEA34E">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_Toc19333 </w:instrText>
      </w:r>
      <w:r>
        <w:rPr>
          <w:rFonts w:ascii="Times New Roman" w:hAnsi="Times New Roman" w:eastAsia="宋体"/>
        </w:rPr>
        <w:fldChar w:fldCharType="separate"/>
      </w:r>
      <w:r>
        <w:rPr>
          <w:rFonts w:hint="eastAsia"/>
          <w:lang w:val="en-US" w:eastAsia="zh-CN"/>
        </w:rPr>
        <w:t>第7章</w:t>
      </w:r>
      <w:r>
        <w:rPr>
          <w:rFonts w:hint="default"/>
        </w:rPr>
        <w:t xml:space="preserve">  </w:t>
      </w:r>
      <w:r>
        <w:rPr>
          <w:rFonts w:hint="eastAsia"/>
          <w:lang w:val="en-US" w:eastAsia="zh-CN"/>
        </w:rPr>
        <w:t>平台制造与预拼装</w:t>
      </w:r>
      <w:r>
        <w:tab/>
      </w:r>
      <w:r>
        <w:fldChar w:fldCharType="begin"/>
      </w:r>
      <w:r>
        <w:instrText xml:space="preserve"> PAGEREF _Toc19333 \h </w:instrText>
      </w:r>
      <w:r>
        <w:fldChar w:fldCharType="separate"/>
      </w:r>
      <w:r>
        <w:t>34</w:t>
      </w:r>
      <w:r>
        <w:fldChar w:fldCharType="end"/>
      </w:r>
      <w:r>
        <w:rPr>
          <w:rFonts w:ascii="Times New Roman" w:hAnsi="Times New Roman" w:eastAsia="宋体"/>
          <w:color w:val="000000" w:themeColor="text1"/>
          <w14:textFill>
            <w14:solidFill>
              <w14:schemeClr w14:val="tx1"/>
            </w14:solidFill>
          </w14:textFill>
        </w:rPr>
        <w:fldChar w:fldCharType="end"/>
      </w:r>
    </w:p>
    <w:p w14:paraId="5D729325">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_Toc6520 </w:instrText>
      </w:r>
      <w:r>
        <w:rPr>
          <w:rFonts w:ascii="Times New Roman" w:hAnsi="Times New Roman" w:eastAsia="宋体"/>
        </w:rPr>
        <w:fldChar w:fldCharType="separate"/>
      </w:r>
      <w:r>
        <w:rPr>
          <w:rFonts w:hint="eastAsia"/>
          <w:lang w:val="en-US" w:eastAsia="zh-CN"/>
        </w:rPr>
        <w:t>7</w:t>
      </w:r>
      <w:r>
        <w:t>.</w:t>
      </w:r>
      <w:r>
        <w:rPr>
          <w:rFonts w:hint="eastAsia"/>
          <w:lang w:val="en-US" w:eastAsia="zh-CN"/>
        </w:rPr>
        <w:t>1</w:t>
      </w:r>
      <w:r>
        <w:t xml:space="preserve">  </w:t>
      </w:r>
      <w:r>
        <w:rPr>
          <w:rFonts w:hint="eastAsia"/>
          <w:lang w:val="en-US" w:eastAsia="zh-CN"/>
        </w:rPr>
        <w:t>平台制造</w:t>
      </w:r>
      <w:r>
        <w:tab/>
      </w:r>
      <w:r>
        <w:fldChar w:fldCharType="begin"/>
      </w:r>
      <w:r>
        <w:instrText xml:space="preserve"> PAGEREF _Toc6520 \h </w:instrText>
      </w:r>
      <w:r>
        <w:fldChar w:fldCharType="separate"/>
      </w:r>
      <w:r>
        <w:t>34</w:t>
      </w:r>
      <w:r>
        <w:fldChar w:fldCharType="end"/>
      </w:r>
      <w:r>
        <w:rPr>
          <w:rFonts w:ascii="Times New Roman" w:hAnsi="Times New Roman" w:eastAsia="宋体"/>
          <w:color w:val="000000" w:themeColor="text1"/>
          <w14:textFill>
            <w14:solidFill>
              <w14:schemeClr w14:val="tx1"/>
            </w14:solidFill>
          </w14:textFill>
        </w:rPr>
        <w:fldChar w:fldCharType="end"/>
      </w:r>
    </w:p>
    <w:p w14:paraId="59D80E91">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_Toc5544 </w:instrText>
      </w:r>
      <w:r>
        <w:rPr>
          <w:rFonts w:ascii="Times New Roman" w:hAnsi="Times New Roman" w:eastAsia="宋体"/>
        </w:rPr>
        <w:fldChar w:fldCharType="separate"/>
      </w:r>
      <w:r>
        <w:rPr>
          <w:rFonts w:hint="eastAsia"/>
          <w:lang w:val="en-US" w:eastAsia="zh-CN"/>
        </w:rPr>
        <w:t>7</w:t>
      </w:r>
      <w:r>
        <w:t>.</w:t>
      </w:r>
      <w:r>
        <w:rPr>
          <w:rFonts w:hint="eastAsia"/>
          <w:lang w:val="en-US" w:eastAsia="zh-CN"/>
        </w:rPr>
        <w:t>2</w:t>
      </w:r>
      <w:r>
        <w:t xml:space="preserve">  </w:t>
      </w:r>
      <w:r>
        <w:rPr>
          <w:rFonts w:hint="eastAsia"/>
          <w:lang w:val="en-US" w:eastAsia="zh-CN"/>
        </w:rPr>
        <w:t>平台预拼装</w:t>
      </w:r>
      <w:r>
        <w:tab/>
      </w:r>
      <w:r>
        <w:fldChar w:fldCharType="begin"/>
      </w:r>
      <w:r>
        <w:instrText xml:space="preserve"> PAGEREF _Toc5544 \h </w:instrText>
      </w:r>
      <w:r>
        <w:fldChar w:fldCharType="separate"/>
      </w:r>
      <w:r>
        <w:t>37</w:t>
      </w:r>
      <w:r>
        <w:fldChar w:fldCharType="end"/>
      </w:r>
      <w:r>
        <w:rPr>
          <w:rFonts w:ascii="Times New Roman" w:hAnsi="Times New Roman" w:eastAsia="宋体"/>
          <w:color w:val="000000" w:themeColor="text1"/>
          <w14:textFill>
            <w14:solidFill>
              <w14:schemeClr w14:val="tx1"/>
            </w14:solidFill>
          </w14:textFill>
        </w:rPr>
        <w:fldChar w:fldCharType="end"/>
      </w:r>
    </w:p>
    <w:p w14:paraId="7B025F7B">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_Toc31921 </w:instrText>
      </w:r>
      <w:r>
        <w:rPr>
          <w:rFonts w:ascii="Times New Roman" w:hAnsi="Times New Roman" w:eastAsia="宋体"/>
        </w:rPr>
        <w:fldChar w:fldCharType="separate"/>
      </w:r>
      <w:r>
        <w:rPr>
          <w:rFonts w:hint="eastAsia"/>
          <w:lang w:val="en-US" w:eastAsia="zh-CN"/>
        </w:rPr>
        <w:t>7</w:t>
      </w:r>
      <w:r>
        <w:t>.</w:t>
      </w:r>
      <w:r>
        <w:rPr>
          <w:rFonts w:hint="eastAsia"/>
          <w:lang w:val="en-US" w:eastAsia="zh-CN"/>
        </w:rPr>
        <w:t>3</w:t>
      </w:r>
      <w:r>
        <w:t xml:space="preserve">  </w:t>
      </w:r>
      <w:r>
        <w:rPr>
          <w:rFonts w:hint="eastAsia"/>
          <w:lang w:val="en-US" w:eastAsia="zh-CN"/>
        </w:rPr>
        <w:t>出厂检验</w:t>
      </w:r>
      <w:r>
        <w:tab/>
      </w:r>
      <w:r>
        <w:fldChar w:fldCharType="begin"/>
      </w:r>
      <w:r>
        <w:instrText xml:space="preserve"> PAGEREF _Toc31921 \h </w:instrText>
      </w:r>
      <w:r>
        <w:fldChar w:fldCharType="separate"/>
      </w:r>
      <w:r>
        <w:t>38</w:t>
      </w:r>
      <w:r>
        <w:fldChar w:fldCharType="end"/>
      </w:r>
      <w:r>
        <w:rPr>
          <w:rFonts w:ascii="Times New Roman" w:hAnsi="Times New Roman" w:eastAsia="宋体"/>
          <w:color w:val="000000" w:themeColor="text1"/>
          <w14:textFill>
            <w14:solidFill>
              <w14:schemeClr w14:val="tx1"/>
            </w14:solidFill>
          </w14:textFill>
        </w:rPr>
        <w:fldChar w:fldCharType="end"/>
      </w:r>
    </w:p>
    <w:p w14:paraId="44259FC0">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_Toc19385 </w:instrText>
      </w:r>
      <w:r>
        <w:rPr>
          <w:rFonts w:ascii="Times New Roman" w:hAnsi="Times New Roman" w:eastAsia="宋体"/>
        </w:rPr>
        <w:fldChar w:fldCharType="separate"/>
      </w:r>
      <w:r>
        <w:rPr>
          <w:rFonts w:hint="eastAsia"/>
          <w:lang w:val="en-US" w:eastAsia="zh-CN"/>
        </w:rPr>
        <w:t>第8章</w:t>
      </w:r>
      <w:r>
        <w:rPr>
          <w:rFonts w:hint="default"/>
        </w:rPr>
        <w:t xml:space="preserve">  </w:t>
      </w:r>
      <w:r>
        <w:rPr>
          <w:rFonts w:hint="eastAsia"/>
          <w:lang w:val="en-US" w:eastAsia="zh-CN"/>
        </w:rPr>
        <w:t>平台安装与调试</w:t>
      </w:r>
      <w:r>
        <w:tab/>
      </w:r>
      <w:r>
        <w:fldChar w:fldCharType="begin"/>
      </w:r>
      <w:r>
        <w:instrText xml:space="preserve"> PAGEREF _Toc19385 \h </w:instrText>
      </w:r>
      <w:r>
        <w:fldChar w:fldCharType="separate"/>
      </w:r>
      <w:r>
        <w:t>41</w:t>
      </w:r>
      <w:r>
        <w:fldChar w:fldCharType="end"/>
      </w:r>
      <w:r>
        <w:rPr>
          <w:rFonts w:ascii="Times New Roman" w:hAnsi="Times New Roman" w:eastAsia="宋体"/>
          <w:color w:val="000000" w:themeColor="text1"/>
          <w14:textFill>
            <w14:solidFill>
              <w14:schemeClr w14:val="tx1"/>
            </w14:solidFill>
          </w14:textFill>
        </w:rPr>
        <w:fldChar w:fldCharType="end"/>
      </w:r>
    </w:p>
    <w:p w14:paraId="44F0FEA3">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_Toc19811 </w:instrText>
      </w:r>
      <w:r>
        <w:rPr>
          <w:rFonts w:ascii="Times New Roman" w:hAnsi="Times New Roman" w:eastAsia="宋体"/>
        </w:rPr>
        <w:fldChar w:fldCharType="separate"/>
      </w:r>
      <w:r>
        <w:rPr>
          <w:rFonts w:hint="eastAsia"/>
          <w:lang w:val="en-US" w:eastAsia="zh-CN"/>
        </w:rPr>
        <w:t>8</w:t>
      </w:r>
      <w:r>
        <w:t>.</w:t>
      </w:r>
      <w:r>
        <w:rPr>
          <w:rFonts w:hint="eastAsia"/>
          <w:lang w:val="en-US" w:eastAsia="zh-CN"/>
        </w:rPr>
        <w:t>1</w:t>
      </w:r>
      <w:r>
        <w:t xml:space="preserve">  </w:t>
      </w:r>
      <w:r>
        <w:rPr>
          <w:rFonts w:hint="eastAsia"/>
          <w:lang w:val="en-US" w:eastAsia="zh-CN"/>
        </w:rPr>
        <w:t>平台安装</w:t>
      </w:r>
      <w:r>
        <w:tab/>
      </w:r>
      <w:r>
        <w:fldChar w:fldCharType="begin"/>
      </w:r>
      <w:r>
        <w:instrText xml:space="preserve"> PAGEREF _Toc19811 \h </w:instrText>
      </w:r>
      <w:r>
        <w:fldChar w:fldCharType="separate"/>
      </w:r>
      <w:r>
        <w:t>41</w:t>
      </w:r>
      <w:r>
        <w:fldChar w:fldCharType="end"/>
      </w:r>
      <w:r>
        <w:rPr>
          <w:rFonts w:ascii="Times New Roman" w:hAnsi="Times New Roman" w:eastAsia="宋体"/>
          <w:color w:val="000000" w:themeColor="text1"/>
          <w14:textFill>
            <w14:solidFill>
              <w14:schemeClr w14:val="tx1"/>
            </w14:solidFill>
          </w14:textFill>
        </w:rPr>
        <w:fldChar w:fldCharType="end"/>
      </w:r>
    </w:p>
    <w:p w14:paraId="5C3F12C8">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_Toc19091 </w:instrText>
      </w:r>
      <w:r>
        <w:rPr>
          <w:rFonts w:ascii="Times New Roman" w:hAnsi="Times New Roman" w:eastAsia="宋体"/>
        </w:rPr>
        <w:fldChar w:fldCharType="separate"/>
      </w:r>
      <w:r>
        <w:rPr>
          <w:rFonts w:hint="eastAsia"/>
          <w:lang w:val="en-US" w:eastAsia="zh-CN"/>
        </w:rPr>
        <w:t>8</w:t>
      </w:r>
      <w:r>
        <w:t>.</w:t>
      </w:r>
      <w:r>
        <w:rPr>
          <w:rFonts w:hint="eastAsia"/>
          <w:lang w:val="en-US" w:eastAsia="zh-CN"/>
        </w:rPr>
        <w:t>2</w:t>
      </w:r>
      <w:r>
        <w:t xml:space="preserve">  </w:t>
      </w:r>
      <w:r>
        <w:rPr>
          <w:rFonts w:hint="eastAsia"/>
          <w:lang w:val="en-US" w:eastAsia="zh-CN"/>
        </w:rPr>
        <w:t>平台调试</w:t>
      </w:r>
      <w:r>
        <w:tab/>
      </w:r>
      <w:r>
        <w:fldChar w:fldCharType="begin"/>
      </w:r>
      <w:r>
        <w:instrText xml:space="preserve"> PAGEREF _Toc19091 \h </w:instrText>
      </w:r>
      <w:r>
        <w:fldChar w:fldCharType="separate"/>
      </w:r>
      <w:r>
        <w:t>43</w:t>
      </w:r>
      <w:r>
        <w:fldChar w:fldCharType="end"/>
      </w:r>
      <w:r>
        <w:rPr>
          <w:rFonts w:ascii="Times New Roman" w:hAnsi="Times New Roman" w:eastAsia="宋体"/>
          <w:color w:val="000000" w:themeColor="text1"/>
          <w14:textFill>
            <w14:solidFill>
              <w14:schemeClr w14:val="tx1"/>
            </w14:solidFill>
          </w14:textFill>
        </w:rPr>
        <w:fldChar w:fldCharType="end"/>
      </w:r>
    </w:p>
    <w:p w14:paraId="3B2514E7">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_Toc8492 </w:instrText>
      </w:r>
      <w:r>
        <w:rPr>
          <w:rFonts w:ascii="Times New Roman" w:hAnsi="Times New Roman" w:eastAsia="宋体"/>
        </w:rPr>
        <w:fldChar w:fldCharType="separate"/>
      </w:r>
      <w:r>
        <w:rPr>
          <w:rFonts w:hint="eastAsia"/>
          <w:lang w:val="en-US" w:eastAsia="zh-CN"/>
        </w:rPr>
        <w:t>第9章</w:t>
      </w:r>
      <w:r>
        <w:rPr>
          <w:rFonts w:hint="default"/>
        </w:rPr>
        <w:t xml:space="preserve">  </w:t>
      </w:r>
      <w:r>
        <w:rPr>
          <w:rFonts w:hint="eastAsia"/>
          <w:lang w:val="en-US" w:eastAsia="zh-CN"/>
        </w:rPr>
        <w:t>验收</w:t>
      </w:r>
      <w:r>
        <w:tab/>
      </w:r>
      <w:r>
        <w:fldChar w:fldCharType="begin"/>
      </w:r>
      <w:r>
        <w:instrText xml:space="preserve"> PAGEREF _Toc8492 \h </w:instrText>
      </w:r>
      <w:r>
        <w:fldChar w:fldCharType="separate"/>
      </w:r>
      <w:r>
        <w:t>45</w:t>
      </w:r>
      <w:r>
        <w:fldChar w:fldCharType="end"/>
      </w:r>
      <w:r>
        <w:rPr>
          <w:rFonts w:ascii="Times New Roman" w:hAnsi="Times New Roman" w:eastAsia="宋体"/>
          <w:color w:val="000000" w:themeColor="text1"/>
          <w14:textFill>
            <w14:solidFill>
              <w14:schemeClr w14:val="tx1"/>
            </w14:solidFill>
          </w14:textFill>
        </w:rPr>
        <w:fldChar w:fldCharType="end"/>
      </w:r>
    </w:p>
    <w:p w14:paraId="030B5AEC">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_Toc29913 </w:instrText>
      </w:r>
      <w:r>
        <w:rPr>
          <w:rFonts w:ascii="Times New Roman" w:hAnsi="Times New Roman" w:eastAsia="宋体"/>
        </w:rPr>
        <w:fldChar w:fldCharType="separate"/>
      </w:r>
      <w:r>
        <w:rPr>
          <w:rFonts w:hint="eastAsia"/>
          <w:lang w:val="en-US" w:eastAsia="zh-CN"/>
        </w:rPr>
        <w:t>9</w:t>
      </w:r>
      <w:r>
        <w:t>.</w:t>
      </w:r>
      <w:r>
        <w:rPr>
          <w:rFonts w:hint="eastAsia"/>
          <w:lang w:val="en-US" w:eastAsia="zh-CN"/>
        </w:rPr>
        <w:t>1</w:t>
      </w:r>
      <w:r>
        <w:t xml:space="preserve">  </w:t>
      </w:r>
      <w:r>
        <w:rPr>
          <w:rFonts w:hint="eastAsia"/>
          <w:lang w:val="en-US" w:eastAsia="zh-CN"/>
        </w:rPr>
        <w:t>一般规定</w:t>
      </w:r>
      <w:r>
        <w:tab/>
      </w:r>
      <w:r>
        <w:fldChar w:fldCharType="begin"/>
      </w:r>
      <w:r>
        <w:instrText xml:space="preserve"> PAGEREF _Toc29913 \h </w:instrText>
      </w:r>
      <w:r>
        <w:fldChar w:fldCharType="separate"/>
      </w:r>
      <w:r>
        <w:t>45</w:t>
      </w:r>
      <w:r>
        <w:fldChar w:fldCharType="end"/>
      </w:r>
      <w:r>
        <w:rPr>
          <w:rFonts w:ascii="Times New Roman" w:hAnsi="Times New Roman" w:eastAsia="宋体"/>
          <w:color w:val="000000" w:themeColor="text1"/>
          <w14:textFill>
            <w14:solidFill>
              <w14:schemeClr w14:val="tx1"/>
            </w14:solidFill>
          </w14:textFill>
        </w:rPr>
        <w:fldChar w:fldCharType="end"/>
      </w:r>
    </w:p>
    <w:p w14:paraId="4886BD97">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_Toc28054 </w:instrText>
      </w:r>
      <w:r>
        <w:rPr>
          <w:rFonts w:ascii="Times New Roman" w:hAnsi="Times New Roman" w:eastAsia="宋体"/>
        </w:rPr>
        <w:fldChar w:fldCharType="separate"/>
      </w:r>
      <w:r>
        <w:rPr>
          <w:rFonts w:hint="eastAsia"/>
          <w:lang w:val="en-US" w:eastAsia="zh-CN"/>
        </w:rPr>
        <w:t>9</w:t>
      </w:r>
      <w:r>
        <w:t>.</w:t>
      </w:r>
      <w:r>
        <w:rPr>
          <w:rFonts w:hint="eastAsia"/>
          <w:lang w:val="en-US" w:eastAsia="zh-CN"/>
        </w:rPr>
        <w:t>2</w:t>
      </w:r>
      <w:r>
        <w:t xml:space="preserve">  </w:t>
      </w:r>
      <w:r>
        <w:rPr>
          <w:rFonts w:hint="eastAsia"/>
          <w:lang w:val="en-US" w:eastAsia="zh-CN"/>
        </w:rPr>
        <w:t>质量过程检查制度</w:t>
      </w:r>
      <w:r>
        <w:tab/>
      </w:r>
      <w:r>
        <w:fldChar w:fldCharType="begin"/>
      </w:r>
      <w:r>
        <w:instrText xml:space="preserve"> PAGEREF _Toc28054 \h </w:instrText>
      </w:r>
      <w:r>
        <w:fldChar w:fldCharType="separate"/>
      </w:r>
      <w:r>
        <w:t>45</w:t>
      </w:r>
      <w:r>
        <w:fldChar w:fldCharType="end"/>
      </w:r>
      <w:r>
        <w:rPr>
          <w:rFonts w:ascii="Times New Roman" w:hAnsi="Times New Roman" w:eastAsia="宋体"/>
          <w:color w:val="000000" w:themeColor="text1"/>
          <w14:textFill>
            <w14:solidFill>
              <w14:schemeClr w14:val="tx1"/>
            </w14:solidFill>
          </w14:textFill>
        </w:rPr>
        <w:fldChar w:fldCharType="end"/>
      </w:r>
    </w:p>
    <w:p w14:paraId="0C86F2FD">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_Toc31103 </w:instrText>
      </w:r>
      <w:r>
        <w:rPr>
          <w:rFonts w:ascii="Times New Roman" w:hAnsi="Times New Roman" w:eastAsia="宋体"/>
        </w:rPr>
        <w:fldChar w:fldCharType="separate"/>
      </w:r>
      <w:r>
        <w:rPr>
          <w:rFonts w:hint="eastAsia"/>
          <w:lang w:val="en-US" w:eastAsia="zh-CN"/>
        </w:rPr>
        <w:t>9</w:t>
      </w:r>
      <w:r>
        <w:t>.</w:t>
      </w:r>
      <w:r>
        <w:rPr>
          <w:rFonts w:hint="eastAsia"/>
          <w:lang w:val="en-US" w:eastAsia="zh-CN"/>
        </w:rPr>
        <w:t>3</w:t>
      </w:r>
      <w:r>
        <w:t xml:space="preserve">  </w:t>
      </w:r>
      <w:r>
        <w:rPr>
          <w:rFonts w:hint="eastAsia"/>
          <w:lang w:val="en-US" w:eastAsia="zh-CN"/>
        </w:rPr>
        <w:t>出厂验收</w:t>
      </w:r>
      <w:r>
        <w:tab/>
      </w:r>
      <w:r>
        <w:fldChar w:fldCharType="begin"/>
      </w:r>
      <w:r>
        <w:instrText xml:space="preserve"> PAGEREF _Toc31103 \h </w:instrText>
      </w:r>
      <w:r>
        <w:fldChar w:fldCharType="separate"/>
      </w:r>
      <w:r>
        <w:t>46</w:t>
      </w:r>
      <w:r>
        <w:fldChar w:fldCharType="end"/>
      </w:r>
      <w:r>
        <w:rPr>
          <w:rFonts w:ascii="Times New Roman" w:hAnsi="Times New Roman" w:eastAsia="宋体"/>
          <w:color w:val="000000" w:themeColor="text1"/>
          <w14:textFill>
            <w14:solidFill>
              <w14:schemeClr w14:val="tx1"/>
            </w14:solidFill>
          </w14:textFill>
        </w:rPr>
        <w:fldChar w:fldCharType="end"/>
      </w:r>
    </w:p>
    <w:p w14:paraId="3FF09609">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_Toc16151 </w:instrText>
      </w:r>
      <w:r>
        <w:rPr>
          <w:rFonts w:ascii="Times New Roman" w:hAnsi="Times New Roman" w:eastAsia="宋体"/>
        </w:rPr>
        <w:fldChar w:fldCharType="separate"/>
      </w:r>
      <w:r>
        <w:rPr>
          <w:rFonts w:hint="eastAsia"/>
          <w:lang w:val="en-US" w:eastAsia="zh-CN"/>
        </w:rPr>
        <w:t>9</w:t>
      </w:r>
      <w:r>
        <w:t>.</w:t>
      </w:r>
      <w:r>
        <w:rPr>
          <w:rFonts w:hint="eastAsia"/>
          <w:lang w:val="en-US" w:eastAsia="zh-CN"/>
        </w:rPr>
        <w:t>4</w:t>
      </w:r>
      <w:r>
        <w:t xml:space="preserve">  </w:t>
      </w:r>
      <w:r>
        <w:rPr>
          <w:rFonts w:hint="eastAsia"/>
          <w:lang w:val="en-US" w:eastAsia="zh-CN"/>
        </w:rPr>
        <w:t>现场安装验收</w:t>
      </w:r>
      <w:r>
        <w:tab/>
      </w:r>
      <w:r>
        <w:fldChar w:fldCharType="begin"/>
      </w:r>
      <w:r>
        <w:instrText xml:space="preserve"> PAGEREF _Toc16151 \h </w:instrText>
      </w:r>
      <w:r>
        <w:fldChar w:fldCharType="separate"/>
      </w:r>
      <w:r>
        <w:t>46</w:t>
      </w:r>
      <w:r>
        <w:fldChar w:fldCharType="end"/>
      </w:r>
      <w:r>
        <w:rPr>
          <w:rFonts w:ascii="Times New Roman" w:hAnsi="Times New Roman" w:eastAsia="宋体"/>
          <w:color w:val="000000" w:themeColor="text1"/>
          <w14:textFill>
            <w14:solidFill>
              <w14:schemeClr w14:val="tx1"/>
            </w14:solidFill>
          </w14:textFill>
        </w:rPr>
        <w:fldChar w:fldCharType="end"/>
      </w:r>
    </w:p>
    <w:p w14:paraId="4DE10E7C">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_Toc3912 </w:instrText>
      </w:r>
      <w:r>
        <w:rPr>
          <w:rFonts w:ascii="Times New Roman" w:hAnsi="Times New Roman" w:eastAsia="宋体"/>
        </w:rPr>
        <w:fldChar w:fldCharType="separate"/>
      </w:r>
      <w:r>
        <w:rPr>
          <w:rFonts w:hint="eastAsia"/>
          <w:lang w:val="en-US" w:eastAsia="zh-CN"/>
        </w:rPr>
        <w:t>9</w:t>
      </w:r>
      <w:r>
        <w:t>.</w:t>
      </w:r>
      <w:r>
        <w:rPr>
          <w:rFonts w:hint="eastAsia"/>
          <w:lang w:val="en-US" w:eastAsia="zh-CN"/>
        </w:rPr>
        <w:t>5</w:t>
      </w:r>
      <w:r>
        <w:t xml:space="preserve">  </w:t>
      </w:r>
      <w:r>
        <w:rPr>
          <w:rFonts w:hint="eastAsia"/>
          <w:lang w:val="en-US" w:eastAsia="zh-CN"/>
        </w:rPr>
        <w:t>定期验收</w:t>
      </w:r>
      <w:r>
        <w:tab/>
      </w:r>
      <w:r>
        <w:fldChar w:fldCharType="begin"/>
      </w:r>
      <w:r>
        <w:instrText xml:space="preserve"> PAGEREF _Toc3912 \h </w:instrText>
      </w:r>
      <w:r>
        <w:fldChar w:fldCharType="separate"/>
      </w:r>
      <w:r>
        <w:t>50</w:t>
      </w:r>
      <w:r>
        <w:fldChar w:fldCharType="end"/>
      </w:r>
      <w:r>
        <w:rPr>
          <w:rFonts w:ascii="Times New Roman" w:hAnsi="Times New Roman" w:eastAsia="宋体"/>
          <w:color w:val="000000" w:themeColor="text1"/>
          <w14:textFill>
            <w14:solidFill>
              <w14:schemeClr w14:val="tx1"/>
            </w14:solidFill>
          </w14:textFill>
        </w:rPr>
        <w:fldChar w:fldCharType="end"/>
      </w:r>
    </w:p>
    <w:p w14:paraId="2E467E6E">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_Toc25852 </w:instrText>
      </w:r>
      <w:r>
        <w:rPr>
          <w:rFonts w:ascii="Times New Roman" w:hAnsi="Times New Roman" w:eastAsia="宋体"/>
        </w:rPr>
        <w:fldChar w:fldCharType="separate"/>
      </w:r>
      <w:r>
        <w:rPr>
          <w:rFonts w:hint="eastAsia"/>
          <w:lang w:val="en-US" w:eastAsia="zh-CN"/>
        </w:rPr>
        <w:t>9</w:t>
      </w:r>
      <w:r>
        <w:t>.</w:t>
      </w:r>
      <w:r>
        <w:rPr>
          <w:rFonts w:hint="eastAsia"/>
          <w:lang w:val="en-US" w:eastAsia="zh-CN"/>
        </w:rPr>
        <w:t>6</w:t>
      </w:r>
      <w:r>
        <w:t xml:space="preserve">  </w:t>
      </w:r>
      <w:r>
        <w:rPr>
          <w:rFonts w:hint="eastAsia"/>
          <w:lang w:val="en-US" w:eastAsia="zh-CN"/>
        </w:rPr>
        <w:t>验收判定标准</w:t>
      </w:r>
      <w:r>
        <w:tab/>
      </w:r>
      <w:r>
        <w:fldChar w:fldCharType="begin"/>
      </w:r>
      <w:r>
        <w:instrText xml:space="preserve"> PAGEREF _Toc25852 \h </w:instrText>
      </w:r>
      <w:r>
        <w:fldChar w:fldCharType="separate"/>
      </w:r>
      <w:r>
        <w:t>50</w:t>
      </w:r>
      <w:r>
        <w:fldChar w:fldCharType="end"/>
      </w:r>
      <w:r>
        <w:rPr>
          <w:rFonts w:ascii="Times New Roman" w:hAnsi="Times New Roman" w:eastAsia="宋体"/>
          <w:color w:val="000000" w:themeColor="text1"/>
          <w14:textFill>
            <w14:solidFill>
              <w14:schemeClr w14:val="tx1"/>
            </w14:solidFill>
          </w14:textFill>
        </w:rPr>
        <w:fldChar w:fldCharType="end"/>
      </w:r>
    </w:p>
    <w:p w14:paraId="715BFD57">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_Toc21884 </w:instrText>
      </w:r>
      <w:r>
        <w:rPr>
          <w:rFonts w:ascii="Times New Roman" w:hAnsi="Times New Roman" w:eastAsia="宋体"/>
        </w:rPr>
        <w:fldChar w:fldCharType="separate"/>
      </w:r>
      <w:r>
        <w:rPr>
          <w:rFonts w:hint="eastAsia"/>
          <w:lang w:val="en-US" w:eastAsia="zh-CN"/>
        </w:rPr>
        <w:t>9</w:t>
      </w:r>
      <w:r>
        <w:t>.</w:t>
      </w:r>
      <w:r>
        <w:rPr>
          <w:rFonts w:hint="eastAsia"/>
          <w:lang w:val="en-US" w:eastAsia="zh-CN"/>
        </w:rPr>
        <w:t>7</w:t>
      </w:r>
      <w:r>
        <w:t xml:space="preserve">  </w:t>
      </w:r>
      <w:r>
        <w:rPr>
          <w:rFonts w:hint="eastAsia"/>
          <w:lang w:val="en-US" w:eastAsia="zh-CN"/>
        </w:rPr>
        <w:t>验收文件清单</w:t>
      </w:r>
      <w:r>
        <w:tab/>
      </w:r>
      <w:r>
        <w:fldChar w:fldCharType="begin"/>
      </w:r>
      <w:r>
        <w:instrText xml:space="preserve"> PAGEREF _Toc21884 \h </w:instrText>
      </w:r>
      <w:r>
        <w:fldChar w:fldCharType="separate"/>
      </w:r>
      <w:r>
        <w:t>50</w:t>
      </w:r>
      <w:r>
        <w:fldChar w:fldCharType="end"/>
      </w:r>
      <w:r>
        <w:rPr>
          <w:rFonts w:ascii="Times New Roman" w:hAnsi="Times New Roman" w:eastAsia="宋体"/>
          <w:color w:val="000000" w:themeColor="text1"/>
          <w14:textFill>
            <w14:solidFill>
              <w14:schemeClr w14:val="tx1"/>
            </w14:solidFill>
          </w14:textFill>
        </w:rPr>
        <w:fldChar w:fldCharType="end"/>
      </w:r>
    </w:p>
    <w:p w14:paraId="309FDAEC">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_Toc8659 </w:instrText>
      </w:r>
      <w:r>
        <w:rPr>
          <w:rFonts w:ascii="Times New Roman" w:hAnsi="Times New Roman" w:eastAsia="宋体"/>
        </w:rPr>
        <w:fldChar w:fldCharType="separate"/>
      </w:r>
      <w:r>
        <w:rPr>
          <w:rFonts w:hint="eastAsia"/>
          <w:lang w:val="en-US" w:eastAsia="zh-CN"/>
        </w:rPr>
        <w:t>第10章</w:t>
      </w:r>
      <w:r>
        <w:rPr>
          <w:rFonts w:hint="default"/>
        </w:rPr>
        <w:t xml:space="preserve">  </w:t>
      </w:r>
      <w:r>
        <w:rPr>
          <w:rFonts w:hint="eastAsia"/>
          <w:lang w:val="en-US" w:eastAsia="zh-CN"/>
        </w:rPr>
        <w:t>平台运行与维护</w:t>
      </w:r>
      <w:r>
        <w:tab/>
      </w:r>
      <w:r>
        <w:fldChar w:fldCharType="begin"/>
      </w:r>
      <w:r>
        <w:instrText xml:space="preserve"> PAGEREF _Toc8659 \h </w:instrText>
      </w:r>
      <w:r>
        <w:fldChar w:fldCharType="separate"/>
      </w:r>
      <w:r>
        <w:t>52</w:t>
      </w:r>
      <w:r>
        <w:fldChar w:fldCharType="end"/>
      </w:r>
      <w:r>
        <w:rPr>
          <w:rFonts w:ascii="Times New Roman" w:hAnsi="Times New Roman" w:eastAsia="宋体"/>
          <w:color w:val="000000" w:themeColor="text1"/>
          <w14:textFill>
            <w14:solidFill>
              <w14:schemeClr w14:val="tx1"/>
            </w14:solidFill>
          </w14:textFill>
        </w:rPr>
        <w:fldChar w:fldCharType="end"/>
      </w:r>
    </w:p>
    <w:p w14:paraId="761D9931">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_Toc19251 </w:instrText>
      </w:r>
      <w:r>
        <w:rPr>
          <w:rFonts w:ascii="Times New Roman" w:hAnsi="Times New Roman" w:eastAsia="宋体"/>
        </w:rPr>
        <w:fldChar w:fldCharType="separate"/>
      </w:r>
      <w:r>
        <w:rPr>
          <w:rFonts w:hint="eastAsia"/>
          <w:lang w:val="en-US" w:eastAsia="zh-CN"/>
        </w:rPr>
        <w:t>10</w:t>
      </w:r>
      <w:r>
        <w:t>.</w:t>
      </w:r>
      <w:r>
        <w:rPr>
          <w:rFonts w:hint="eastAsia"/>
          <w:lang w:val="en-US" w:eastAsia="zh-CN"/>
        </w:rPr>
        <w:t>1</w:t>
      </w:r>
      <w:r>
        <w:t xml:space="preserve">  </w:t>
      </w:r>
      <w:r>
        <w:rPr>
          <w:rFonts w:hint="eastAsia"/>
          <w:lang w:val="en-US" w:eastAsia="zh-CN"/>
        </w:rPr>
        <w:t>日常运行操作规程</w:t>
      </w:r>
      <w:r>
        <w:tab/>
      </w:r>
      <w:r>
        <w:fldChar w:fldCharType="begin"/>
      </w:r>
      <w:r>
        <w:instrText xml:space="preserve"> PAGEREF _Toc19251 \h </w:instrText>
      </w:r>
      <w:r>
        <w:fldChar w:fldCharType="separate"/>
      </w:r>
      <w:r>
        <w:t>52</w:t>
      </w:r>
      <w:r>
        <w:fldChar w:fldCharType="end"/>
      </w:r>
      <w:r>
        <w:rPr>
          <w:rFonts w:ascii="Times New Roman" w:hAnsi="Times New Roman" w:eastAsia="宋体"/>
          <w:color w:val="000000" w:themeColor="text1"/>
          <w14:textFill>
            <w14:solidFill>
              <w14:schemeClr w14:val="tx1"/>
            </w14:solidFill>
          </w14:textFill>
        </w:rPr>
        <w:fldChar w:fldCharType="end"/>
      </w:r>
    </w:p>
    <w:p w14:paraId="4ED8B829">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_Toc11287 </w:instrText>
      </w:r>
      <w:r>
        <w:rPr>
          <w:rFonts w:ascii="Times New Roman" w:hAnsi="Times New Roman" w:eastAsia="宋体"/>
        </w:rPr>
        <w:fldChar w:fldCharType="separate"/>
      </w:r>
      <w:r>
        <w:rPr>
          <w:rFonts w:hint="eastAsia"/>
          <w:lang w:val="en-US" w:eastAsia="zh-CN"/>
        </w:rPr>
        <w:t>10</w:t>
      </w:r>
      <w:r>
        <w:t>.</w:t>
      </w:r>
      <w:r>
        <w:rPr>
          <w:rFonts w:hint="eastAsia"/>
          <w:lang w:val="en-US" w:eastAsia="zh-CN"/>
        </w:rPr>
        <w:t>2</w:t>
      </w:r>
      <w:r>
        <w:t xml:space="preserve">  </w:t>
      </w:r>
      <w:r>
        <w:rPr>
          <w:rFonts w:hint="eastAsia"/>
          <w:lang w:val="en-US" w:eastAsia="zh-CN"/>
        </w:rPr>
        <w:t>工况转换管理</w:t>
      </w:r>
      <w:r>
        <w:tab/>
      </w:r>
      <w:r>
        <w:fldChar w:fldCharType="begin"/>
      </w:r>
      <w:r>
        <w:instrText xml:space="preserve"> PAGEREF _Toc11287 \h </w:instrText>
      </w:r>
      <w:r>
        <w:fldChar w:fldCharType="separate"/>
      </w:r>
      <w:r>
        <w:t>55</w:t>
      </w:r>
      <w:r>
        <w:fldChar w:fldCharType="end"/>
      </w:r>
      <w:r>
        <w:rPr>
          <w:rFonts w:ascii="Times New Roman" w:hAnsi="Times New Roman" w:eastAsia="宋体"/>
          <w:color w:val="000000" w:themeColor="text1"/>
          <w14:textFill>
            <w14:solidFill>
              <w14:schemeClr w14:val="tx1"/>
            </w14:solidFill>
          </w14:textFill>
        </w:rPr>
        <w:fldChar w:fldCharType="end"/>
      </w:r>
    </w:p>
    <w:p w14:paraId="2C949BF9">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_Toc6610 </w:instrText>
      </w:r>
      <w:r>
        <w:rPr>
          <w:rFonts w:ascii="Times New Roman" w:hAnsi="Times New Roman" w:eastAsia="宋体"/>
        </w:rPr>
        <w:fldChar w:fldCharType="separate"/>
      </w:r>
      <w:r>
        <w:rPr>
          <w:rFonts w:hint="eastAsia"/>
          <w:lang w:val="en-US" w:eastAsia="zh-CN"/>
        </w:rPr>
        <w:t>10</w:t>
      </w:r>
      <w:r>
        <w:t>.</w:t>
      </w:r>
      <w:r>
        <w:rPr>
          <w:rFonts w:hint="eastAsia"/>
          <w:lang w:val="en-US" w:eastAsia="zh-CN"/>
        </w:rPr>
        <w:t>3</w:t>
      </w:r>
      <w:r>
        <w:t xml:space="preserve">  </w:t>
      </w:r>
      <w:r>
        <w:rPr>
          <w:rFonts w:hint="eastAsia"/>
          <w:lang w:val="en-US" w:eastAsia="zh-CN"/>
        </w:rPr>
        <w:t>荷载管控</w:t>
      </w:r>
      <w:r>
        <w:tab/>
      </w:r>
      <w:r>
        <w:fldChar w:fldCharType="begin"/>
      </w:r>
      <w:r>
        <w:instrText xml:space="preserve"> PAGEREF _Toc6610 \h </w:instrText>
      </w:r>
      <w:r>
        <w:fldChar w:fldCharType="separate"/>
      </w:r>
      <w:r>
        <w:t>56</w:t>
      </w:r>
      <w:r>
        <w:fldChar w:fldCharType="end"/>
      </w:r>
      <w:r>
        <w:rPr>
          <w:rFonts w:ascii="Times New Roman" w:hAnsi="Times New Roman" w:eastAsia="宋体"/>
          <w:color w:val="000000" w:themeColor="text1"/>
          <w14:textFill>
            <w14:solidFill>
              <w14:schemeClr w14:val="tx1"/>
            </w14:solidFill>
          </w14:textFill>
        </w:rPr>
        <w:fldChar w:fldCharType="end"/>
      </w:r>
    </w:p>
    <w:p w14:paraId="3887077A">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_Toc26908 </w:instrText>
      </w:r>
      <w:r>
        <w:rPr>
          <w:rFonts w:ascii="Times New Roman" w:hAnsi="Times New Roman" w:eastAsia="宋体"/>
        </w:rPr>
        <w:fldChar w:fldCharType="separate"/>
      </w:r>
      <w:r>
        <w:rPr>
          <w:rFonts w:hint="eastAsia"/>
          <w:lang w:val="en-US" w:eastAsia="zh-CN"/>
        </w:rPr>
        <w:t>10</w:t>
      </w:r>
      <w:r>
        <w:t>.</w:t>
      </w:r>
      <w:r>
        <w:rPr>
          <w:rFonts w:hint="eastAsia"/>
          <w:lang w:val="en-US" w:eastAsia="zh-CN"/>
        </w:rPr>
        <w:t>4</w:t>
      </w:r>
      <w:r>
        <w:t xml:space="preserve">  </w:t>
      </w:r>
      <w:r>
        <w:rPr>
          <w:rFonts w:hint="eastAsia"/>
          <w:lang w:val="en-US" w:eastAsia="zh-CN"/>
        </w:rPr>
        <w:t>限位与安全保护</w:t>
      </w:r>
      <w:r>
        <w:tab/>
      </w:r>
      <w:r>
        <w:fldChar w:fldCharType="begin"/>
      </w:r>
      <w:r>
        <w:instrText xml:space="preserve"> PAGEREF _Toc26908 \h </w:instrText>
      </w:r>
      <w:r>
        <w:fldChar w:fldCharType="separate"/>
      </w:r>
      <w:r>
        <w:t>57</w:t>
      </w:r>
      <w:r>
        <w:fldChar w:fldCharType="end"/>
      </w:r>
      <w:r>
        <w:rPr>
          <w:rFonts w:ascii="Times New Roman" w:hAnsi="Times New Roman" w:eastAsia="宋体"/>
          <w:color w:val="000000" w:themeColor="text1"/>
          <w14:textFill>
            <w14:solidFill>
              <w14:schemeClr w14:val="tx1"/>
            </w14:solidFill>
          </w14:textFill>
        </w:rPr>
        <w:fldChar w:fldCharType="end"/>
      </w:r>
    </w:p>
    <w:p w14:paraId="625F39A1">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_Toc23703 </w:instrText>
      </w:r>
      <w:r>
        <w:rPr>
          <w:rFonts w:ascii="Times New Roman" w:hAnsi="Times New Roman" w:eastAsia="宋体"/>
        </w:rPr>
        <w:fldChar w:fldCharType="separate"/>
      </w:r>
      <w:r>
        <w:rPr>
          <w:rFonts w:hint="eastAsia"/>
          <w:lang w:val="en-US" w:eastAsia="zh-CN"/>
        </w:rPr>
        <w:t>10</w:t>
      </w:r>
      <w:r>
        <w:t>.</w:t>
      </w:r>
      <w:r>
        <w:rPr>
          <w:rFonts w:hint="eastAsia"/>
          <w:lang w:val="en-US" w:eastAsia="zh-CN"/>
        </w:rPr>
        <w:t>5</w:t>
      </w:r>
      <w:r>
        <w:t xml:space="preserve">  </w:t>
      </w:r>
      <w:r>
        <w:rPr>
          <w:rFonts w:hint="eastAsia"/>
          <w:lang w:val="en-US" w:eastAsia="zh-CN"/>
        </w:rPr>
        <w:t>日常巡检与定期维护</w:t>
      </w:r>
      <w:r>
        <w:tab/>
      </w:r>
      <w:r>
        <w:fldChar w:fldCharType="begin"/>
      </w:r>
      <w:r>
        <w:instrText xml:space="preserve"> PAGEREF _Toc23703 \h </w:instrText>
      </w:r>
      <w:r>
        <w:fldChar w:fldCharType="separate"/>
      </w:r>
      <w:r>
        <w:t>58</w:t>
      </w:r>
      <w:r>
        <w:fldChar w:fldCharType="end"/>
      </w:r>
      <w:r>
        <w:rPr>
          <w:rFonts w:ascii="Times New Roman" w:hAnsi="Times New Roman" w:eastAsia="宋体"/>
          <w:color w:val="000000" w:themeColor="text1"/>
          <w14:textFill>
            <w14:solidFill>
              <w14:schemeClr w14:val="tx1"/>
            </w14:solidFill>
          </w14:textFill>
        </w:rPr>
        <w:fldChar w:fldCharType="end"/>
      </w:r>
    </w:p>
    <w:p w14:paraId="4F4F919B">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_Toc8003 </w:instrText>
      </w:r>
      <w:r>
        <w:rPr>
          <w:rFonts w:ascii="Times New Roman" w:hAnsi="Times New Roman" w:eastAsia="宋体"/>
        </w:rPr>
        <w:fldChar w:fldCharType="separate"/>
      </w:r>
      <w:r>
        <w:rPr>
          <w:rFonts w:hint="eastAsia"/>
          <w:lang w:val="en-US" w:eastAsia="zh-CN"/>
        </w:rPr>
        <w:t>10</w:t>
      </w:r>
      <w:r>
        <w:t>.</w:t>
      </w:r>
      <w:r>
        <w:rPr>
          <w:rFonts w:hint="eastAsia"/>
          <w:lang w:val="en-US" w:eastAsia="zh-CN"/>
        </w:rPr>
        <w:t>6</w:t>
      </w:r>
      <w:r>
        <w:t xml:space="preserve">  </w:t>
      </w:r>
      <w:r>
        <w:rPr>
          <w:rFonts w:hint="eastAsia"/>
          <w:lang w:val="en-US" w:eastAsia="zh-CN"/>
        </w:rPr>
        <w:t>应急预案</w:t>
      </w:r>
      <w:r>
        <w:tab/>
      </w:r>
      <w:r>
        <w:fldChar w:fldCharType="begin"/>
      </w:r>
      <w:r>
        <w:instrText xml:space="preserve"> PAGEREF _Toc8003 \h </w:instrText>
      </w:r>
      <w:r>
        <w:fldChar w:fldCharType="separate"/>
      </w:r>
      <w:r>
        <w:t>59</w:t>
      </w:r>
      <w:r>
        <w:fldChar w:fldCharType="end"/>
      </w:r>
      <w:r>
        <w:rPr>
          <w:rFonts w:ascii="Times New Roman" w:hAnsi="Times New Roman" w:eastAsia="宋体"/>
          <w:color w:val="000000" w:themeColor="text1"/>
          <w14:textFill>
            <w14:solidFill>
              <w14:schemeClr w14:val="tx1"/>
            </w14:solidFill>
          </w14:textFill>
        </w:rPr>
        <w:fldChar w:fldCharType="end"/>
      </w:r>
    </w:p>
    <w:p w14:paraId="418B43BB">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_Toc22841 </w:instrText>
      </w:r>
      <w:r>
        <w:rPr>
          <w:rFonts w:ascii="Times New Roman" w:hAnsi="Times New Roman" w:eastAsia="宋体"/>
        </w:rPr>
        <w:fldChar w:fldCharType="separate"/>
      </w:r>
      <w:r>
        <w:rPr>
          <w:rFonts w:hint="eastAsia"/>
          <w:lang w:val="en-US" w:eastAsia="zh-CN"/>
        </w:rPr>
        <w:t>10</w:t>
      </w:r>
      <w:r>
        <w:t>.</w:t>
      </w:r>
      <w:r>
        <w:rPr>
          <w:rFonts w:hint="eastAsia"/>
          <w:lang w:val="en-US" w:eastAsia="zh-CN"/>
        </w:rPr>
        <w:t>7</w:t>
      </w:r>
      <w:r>
        <w:t xml:space="preserve">  </w:t>
      </w:r>
      <w:r>
        <w:rPr>
          <w:rFonts w:hint="eastAsia"/>
          <w:lang w:val="en-US" w:eastAsia="zh-CN"/>
        </w:rPr>
        <w:t>安全管理档案</w:t>
      </w:r>
      <w:r>
        <w:tab/>
      </w:r>
      <w:r>
        <w:fldChar w:fldCharType="begin"/>
      </w:r>
      <w:r>
        <w:instrText xml:space="preserve"> PAGEREF _Toc22841 \h </w:instrText>
      </w:r>
      <w:r>
        <w:fldChar w:fldCharType="separate"/>
      </w:r>
      <w:r>
        <w:t>63</w:t>
      </w:r>
      <w:r>
        <w:fldChar w:fldCharType="end"/>
      </w:r>
      <w:r>
        <w:rPr>
          <w:rFonts w:ascii="Times New Roman" w:hAnsi="Times New Roman" w:eastAsia="宋体"/>
          <w:color w:val="000000" w:themeColor="text1"/>
          <w14:textFill>
            <w14:solidFill>
              <w14:schemeClr w14:val="tx1"/>
            </w14:solidFill>
          </w14:textFill>
        </w:rPr>
        <w:fldChar w:fldCharType="end"/>
      </w:r>
    </w:p>
    <w:p w14:paraId="2F18DBA4">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_Toc29528 </w:instrText>
      </w:r>
      <w:r>
        <w:rPr>
          <w:rFonts w:ascii="Times New Roman" w:hAnsi="Times New Roman" w:eastAsia="宋体"/>
        </w:rPr>
        <w:fldChar w:fldCharType="separate"/>
      </w:r>
      <w:r>
        <w:rPr>
          <w:rFonts w:hint="eastAsia"/>
          <w:lang w:val="en-US" w:eastAsia="zh-CN"/>
        </w:rPr>
        <w:t>10</w:t>
      </w:r>
      <w:r>
        <w:t>.</w:t>
      </w:r>
      <w:r>
        <w:rPr>
          <w:rFonts w:hint="eastAsia"/>
          <w:lang w:val="en-US" w:eastAsia="zh-CN"/>
        </w:rPr>
        <w:t>8</w:t>
      </w:r>
      <w:r>
        <w:t xml:space="preserve">  </w:t>
      </w:r>
      <w:r>
        <w:rPr>
          <w:rFonts w:hint="eastAsia"/>
          <w:lang w:val="en-US" w:eastAsia="zh-CN"/>
        </w:rPr>
        <w:t>施工环境保护</w:t>
      </w:r>
      <w:r>
        <w:tab/>
      </w:r>
      <w:r>
        <w:fldChar w:fldCharType="begin"/>
      </w:r>
      <w:r>
        <w:instrText xml:space="preserve"> PAGEREF _Toc29528 \h </w:instrText>
      </w:r>
      <w:r>
        <w:fldChar w:fldCharType="separate"/>
      </w:r>
      <w:r>
        <w:t>64</w:t>
      </w:r>
      <w:r>
        <w:fldChar w:fldCharType="end"/>
      </w:r>
      <w:r>
        <w:rPr>
          <w:rFonts w:ascii="Times New Roman" w:hAnsi="Times New Roman" w:eastAsia="宋体"/>
          <w:color w:val="000000" w:themeColor="text1"/>
          <w14:textFill>
            <w14:solidFill>
              <w14:schemeClr w14:val="tx1"/>
            </w14:solidFill>
          </w14:textFill>
        </w:rPr>
        <w:fldChar w:fldCharType="end"/>
      </w:r>
    </w:p>
    <w:p w14:paraId="454237D8">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_Toc9003 </w:instrText>
      </w:r>
      <w:r>
        <w:rPr>
          <w:rFonts w:ascii="Times New Roman" w:hAnsi="Times New Roman" w:eastAsia="宋体"/>
        </w:rPr>
        <w:fldChar w:fldCharType="separate"/>
      </w:r>
      <w:r>
        <w:rPr>
          <w:rFonts w:hint="eastAsia"/>
          <w:lang w:val="en-US" w:eastAsia="zh-CN"/>
        </w:rPr>
        <w:t>第11章</w:t>
      </w:r>
      <w:r>
        <w:rPr>
          <w:rFonts w:hint="default"/>
        </w:rPr>
        <w:t xml:space="preserve">  </w:t>
      </w:r>
      <w:r>
        <w:rPr>
          <w:rFonts w:hint="eastAsia"/>
          <w:lang w:val="en-US" w:eastAsia="zh-CN"/>
        </w:rPr>
        <w:t>平台改造与拆除</w:t>
      </w:r>
      <w:r>
        <w:tab/>
      </w:r>
      <w:r>
        <w:fldChar w:fldCharType="begin"/>
      </w:r>
      <w:r>
        <w:instrText xml:space="preserve"> PAGEREF _Toc9003 \h </w:instrText>
      </w:r>
      <w:r>
        <w:fldChar w:fldCharType="separate"/>
      </w:r>
      <w:r>
        <w:t>66</w:t>
      </w:r>
      <w:r>
        <w:fldChar w:fldCharType="end"/>
      </w:r>
      <w:r>
        <w:rPr>
          <w:rFonts w:ascii="Times New Roman" w:hAnsi="Times New Roman" w:eastAsia="宋体"/>
          <w:color w:val="000000" w:themeColor="text1"/>
          <w14:textFill>
            <w14:solidFill>
              <w14:schemeClr w14:val="tx1"/>
            </w14:solidFill>
          </w14:textFill>
        </w:rPr>
        <w:fldChar w:fldCharType="end"/>
      </w:r>
    </w:p>
    <w:p w14:paraId="34B0EA1C">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_Toc22160 </w:instrText>
      </w:r>
      <w:r>
        <w:rPr>
          <w:rFonts w:ascii="Times New Roman" w:hAnsi="Times New Roman" w:eastAsia="宋体"/>
        </w:rPr>
        <w:fldChar w:fldCharType="separate"/>
      </w:r>
      <w:r>
        <w:rPr>
          <w:rFonts w:hint="eastAsia"/>
          <w:lang w:val="en-US" w:eastAsia="zh-CN"/>
        </w:rPr>
        <w:t>11</w:t>
      </w:r>
      <w:r>
        <w:t>.</w:t>
      </w:r>
      <w:r>
        <w:rPr>
          <w:rFonts w:hint="eastAsia"/>
          <w:lang w:val="en-US" w:eastAsia="zh-CN"/>
        </w:rPr>
        <w:t>1</w:t>
      </w:r>
      <w:r>
        <w:t xml:space="preserve">  </w:t>
      </w:r>
      <w:r>
        <w:rPr>
          <w:rFonts w:hint="eastAsia"/>
          <w:lang w:val="en-US" w:eastAsia="zh-CN"/>
        </w:rPr>
        <w:t>一般规定</w:t>
      </w:r>
      <w:r>
        <w:tab/>
      </w:r>
      <w:r>
        <w:fldChar w:fldCharType="begin"/>
      </w:r>
      <w:r>
        <w:instrText xml:space="preserve"> PAGEREF _Toc22160 \h </w:instrText>
      </w:r>
      <w:r>
        <w:fldChar w:fldCharType="separate"/>
      </w:r>
      <w:r>
        <w:t>66</w:t>
      </w:r>
      <w:r>
        <w:fldChar w:fldCharType="end"/>
      </w:r>
      <w:r>
        <w:rPr>
          <w:rFonts w:ascii="Times New Roman" w:hAnsi="Times New Roman" w:eastAsia="宋体"/>
          <w:color w:val="000000" w:themeColor="text1"/>
          <w14:textFill>
            <w14:solidFill>
              <w14:schemeClr w14:val="tx1"/>
            </w14:solidFill>
          </w14:textFill>
        </w:rPr>
        <w:fldChar w:fldCharType="end"/>
      </w:r>
    </w:p>
    <w:p w14:paraId="2CCFB875">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_Toc31605 </w:instrText>
      </w:r>
      <w:r>
        <w:rPr>
          <w:rFonts w:ascii="Times New Roman" w:hAnsi="Times New Roman" w:eastAsia="宋体"/>
        </w:rPr>
        <w:fldChar w:fldCharType="separate"/>
      </w:r>
      <w:r>
        <w:rPr>
          <w:rFonts w:hint="eastAsia"/>
          <w:lang w:val="en-US" w:eastAsia="zh-CN"/>
        </w:rPr>
        <w:t>11</w:t>
      </w:r>
      <w:r>
        <w:t>.</w:t>
      </w:r>
      <w:r>
        <w:rPr>
          <w:rFonts w:hint="eastAsia"/>
          <w:lang w:val="en-US" w:eastAsia="zh-CN"/>
        </w:rPr>
        <w:t>2</w:t>
      </w:r>
      <w:r>
        <w:t xml:space="preserve">  </w:t>
      </w:r>
      <w:r>
        <w:rPr>
          <w:rFonts w:hint="eastAsia"/>
          <w:lang w:val="en-US" w:eastAsia="zh-CN"/>
        </w:rPr>
        <w:t>拆除工艺流程</w:t>
      </w:r>
      <w:r>
        <w:tab/>
      </w:r>
      <w:r>
        <w:fldChar w:fldCharType="begin"/>
      </w:r>
      <w:r>
        <w:instrText xml:space="preserve"> PAGEREF _Toc31605 \h </w:instrText>
      </w:r>
      <w:r>
        <w:fldChar w:fldCharType="separate"/>
      </w:r>
      <w:r>
        <w:t>67</w:t>
      </w:r>
      <w:r>
        <w:fldChar w:fldCharType="end"/>
      </w:r>
      <w:r>
        <w:rPr>
          <w:rFonts w:ascii="Times New Roman" w:hAnsi="Times New Roman" w:eastAsia="宋体"/>
          <w:color w:val="000000" w:themeColor="text1"/>
          <w14:textFill>
            <w14:solidFill>
              <w14:schemeClr w14:val="tx1"/>
            </w14:solidFill>
          </w14:textFill>
        </w:rPr>
        <w:fldChar w:fldCharType="end"/>
      </w:r>
    </w:p>
    <w:p w14:paraId="542A1239">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_Toc30837 </w:instrText>
      </w:r>
      <w:r>
        <w:rPr>
          <w:rFonts w:ascii="Times New Roman" w:hAnsi="Times New Roman" w:eastAsia="宋体"/>
        </w:rPr>
        <w:fldChar w:fldCharType="separate"/>
      </w:r>
      <w:r>
        <w:rPr>
          <w:rFonts w:hint="eastAsia"/>
          <w:lang w:val="en-US" w:eastAsia="zh-CN"/>
        </w:rPr>
        <w:t>11</w:t>
      </w:r>
      <w:r>
        <w:t>.</w:t>
      </w:r>
      <w:r>
        <w:rPr>
          <w:rFonts w:hint="eastAsia"/>
          <w:lang w:val="en-US" w:eastAsia="zh-CN"/>
        </w:rPr>
        <w:t>3</w:t>
      </w:r>
      <w:r>
        <w:t xml:space="preserve">  </w:t>
      </w:r>
      <w:r>
        <w:rPr>
          <w:rFonts w:hint="eastAsia"/>
          <w:lang w:val="en-US" w:eastAsia="zh-CN"/>
        </w:rPr>
        <w:t>拆除施工工艺控制要点</w:t>
      </w:r>
      <w:r>
        <w:tab/>
      </w:r>
      <w:r>
        <w:fldChar w:fldCharType="begin"/>
      </w:r>
      <w:r>
        <w:instrText xml:space="preserve"> PAGEREF _Toc30837 \h </w:instrText>
      </w:r>
      <w:r>
        <w:fldChar w:fldCharType="separate"/>
      </w:r>
      <w:r>
        <w:t>68</w:t>
      </w:r>
      <w:r>
        <w:fldChar w:fldCharType="end"/>
      </w:r>
      <w:r>
        <w:rPr>
          <w:rFonts w:ascii="Times New Roman" w:hAnsi="Times New Roman" w:eastAsia="宋体"/>
          <w:color w:val="000000" w:themeColor="text1"/>
          <w14:textFill>
            <w14:solidFill>
              <w14:schemeClr w14:val="tx1"/>
            </w14:solidFill>
          </w14:textFill>
        </w:rPr>
        <w:fldChar w:fldCharType="end"/>
      </w:r>
    </w:p>
    <w:p w14:paraId="00C407A9">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_Toc919 </w:instrText>
      </w:r>
      <w:r>
        <w:rPr>
          <w:rFonts w:ascii="Times New Roman" w:hAnsi="Times New Roman" w:eastAsia="宋体"/>
        </w:rPr>
        <w:fldChar w:fldCharType="separate"/>
      </w:r>
      <w:r>
        <w:rPr>
          <w:rFonts w:hint="eastAsia"/>
          <w:lang w:val="en-US" w:eastAsia="zh-CN"/>
        </w:rPr>
        <w:t>11</w:t>
      </w:r>
      <w:r>
        <w:t>.</w:t>
      </w:r>
      <w:r>
        <w:rPr>
          <w:rFonts w:hint="eastAsia"/>
          <w:lang w:val="en-US" w:eastAsia="zh-CN"/>
        </w:rPr>
        <w:t>4</w:t>
      </w:r>
      <w:r>
        <w:t xml:space="preserve">  </w:t>
      </w:r>
      <w:r>
        <w:rPr>
          <w:rFonts w:hint="eastAsia"/>
          <w:lang w:val="en-US" w:eastAsia="zh-CN"/>
        </w:rPr>
        <w:t>构件回收与再利用评估</w:t>
      </w:r>
      <w:r>
        <w:tab/>
      </w:r>
      <w:r>
        <w:fldChar w:fldCharType="begin"/>
      </w:r>
      <w:r>
        <w:instrText xml:space="preserve"> PAGEREF _Toc919 \h </w:instrText>
      </w:r>
      <w:r>
        <w:fldChar w:fldCharType="separate"/>
      </w:r>
      <w:r>
        <w:t>71</w:t>
      </w:r>
      <w:r>
        <w:fldChar w:fldCharType="end"/>
      </w:r>
      <w:r>
        <w:rPr>
          <w:rFonts w:ascii="Times New Roman" w:hAnsi="Times New Roman" w:eastAsia="宋体"/>
          <w:color w:val="000000" w:themeColor="text1"/>
          <w14:textFill>
            <w14:solidFill>
              <w14:schemeClr w14:val="tx1"/>
            </w14:solidFill>
          </w14:textFill>
        </w:rPr>
        <w:fldChar w:fldCharType="end"/>
      </w:r>
    </w:p>
    <w:p w14:paraId="2BD2AD58">
      <w:pPr>
        <w:pStyle w:val="20"/>
        <w:tabs>
          <w:tab w:val="right" w:leader="dot" w:pos="900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_Toc19519 </w:instrText>
      </w:r>
      <w:r>
        <w:rPr>
          <w:rFonts w:ascii="Times New Roman" w:hAnsi="Times New Roman" w:eastAsia="宋体"/>
        </w:rPr>
        <w:fldChar w:fldCharType="separate"/>
      </w:r>
      <w:r>
        <w:rPr>
          <w:rFonts w:hint="eastAsia"/>
          <w:lang w:val="en-US" w:eastAsia="zh-CN"/>
        </w:rPr>
        <w:t>11</w:t>
      </w:r>
      <w:r>
        <w:t>.</w:t>
      </w:r>
      <w:r>
        <w:rPr>
          <w:rFonts w:hint="eastAsia"/>
          <w:lang w:val="en-US" w:eastAsia="zh-CN"/>
        </w:rPr>
        <w:t>5</w:t>
      </w:r>
      <w:r>
        <w:t xml:space="preserve">  </w:t>
      </w:r>
      <w:r>
        <w:rPr>
          <w:rFonts w:hint="eastAsia"/>
          <w:lang w:val="en-US" w:eastAsia="zh-CN"/>
        </w:rPr>
        <w:t>拆除阶段安全要求</w:t>
      </w:r>
      <w:r>
        <w:tab/>
      </w:r>
      <w:r>
        <w:fldChar w:fldCharType="begin"/>
      </w:r>
      <w:r>
        <w:instrText xml:space="preserve"> PAGEREF _Toc19519 \h </w:instrText>
      </w:r>
      <w:r>
        <w:fldChar w:fldCharType="separate"/>
      </w:r>
      <w:r>
        <w:t>72</w:t>
      </w:r>
      <w:r>
        <w:fldChar w:fldCharType="end"/>
      </w:r>
      <w:r>
        <w:rPr>
          <w:rFonts w:ascii="Times New Roman" w:hAnsi="Times New Roman" w:eastAsia="宋体"/>
          <w:color w:val="000000" w:themeColor="text1"/>
          <w14:textFill>
            <w14:solidFill>
              <w14:schemeClr w14:val="tx1"/>
            </w14:solidFill>
          </w14:textFill>
        </w:rPr>
        <w:fldChar w:fldCharType="end"/>
      </w:r>
    </w:p>
    <w:p w14:paraId="50CA2EEC">
      <w:pPr>
        <w:pStyle w:val="17"/>
        <w:tabs>
          <w:tab w:val="right" w:leader="dot" w:pos="9003"/>
          <w:tab w:val="clear" w:pos="8993"/>
        </w:tabs>
      </w:pPr>
      <w:r>
        <w:rPr>
          <w:rFonts w:ascii="Times New Roman" w:hAnsi="Times New Roman" w:eastAsia="宋体"/>
          <w:color w:val="000000" w:themeColor="text1"/>
          <w14:textFill>
            <w14:solidFill>
              <w14:schemeClr w14:val="tx1"/>
            </w14:solidFill>
          </w14:textFill>
        </w:rPr>
        <w:fldChar w:fldCharType="begin"/>
      </w:r>
      <w:r>
        <w:rPr>
          <w:rFonts w:ascii="Times New Roman" w:hAnsi="Times New Roman" w:eastAsia="宋体"/>
        </w:rPr>
        <w:instrText xml:space="preserve"> HYPERLINK \l _Toc8915 </w:instrText>
      </w:r>
      <w:r>
        <w:rPr>
          <w:rFonts w:ascii="Times New Roman" w:hAnsi="Times New Roman" w:eastAsia="宋体"/>
        </w:rPr>
        <w:fldChar w:fldCharType="separate"/>
      </w:r>
      <w:r>
        <w:rPr>
          <w:rFonts w:hint="eastAsia"/>
          <w:lang w:val="en-US" w:eastAsia="zh-CN"/>
        </w:rPr>
        <w:t>第12章</w:t>
      </w:r>
      <w:r>
        <w:rPr>
          <w:rFonts w:hint="default"/>
        </w:rPr>
        <w:t xml:space="preserve">  </w:t>
      </w:r>
      <w:r>
        <w:rPr>
          <w:rFonts w:hint="eastAsia"/>
          <w:lang w:val="en-US" w:eastAsia="zh-CN"/>
        </w:rPr>
        <w:t>检验、检测与监测</w:t>
      </w:r>
      <w:r>
        <w:tab/>
      </w:r>
      <w:r>
        <w:fldChar w:fldCharType="begin"/>
      </w:r>
      <w:r>
        <w:instrText xml:space="preserve"> PAGEREF _Toc8915 \h </w:instrText>
      </w:r>
      <w:r>
        <w:fldChar w:fldCharType="separate"/>
      </w:r>
      <w:r>
        <w:t>75</w:t>
      </w:r>
      <w:r>
        <w:fldChar w:fldCharType="end"/>
      </w:r>
      <w:r>
        <w:rPr>
          <w:rFonts w:ascii="Times New Roman" w:hAnsi="Times New Roman" w:eastAsia="宋体"/>
          <w:color w:val="000000" w:themeColor="text1"/>
          <w14:textFill>
            <w14:solidFill>
              <w14:schemeClr w14:val="tx1"/>
            </w14:solidFill>
          </w14:textFill>
        </w:rPr>
        <w:fldChar w:fldCharType="end"/>
      </w:r>
    </w:p>
    <w:p w14:paraId="7CA3E08B">
      <w:pPr>
        <w:tabs>
          <w:tab w:val="left" w:pos="509"/>
        </w:tabs>
        <w:bidi w:val="0"/>
        <w:jc w:val="left"/>
        <w:rPr>
          <w:rFonts w:hint="eastAsia"/>
          <w:color w:val="000000" w:themeColor="text1"/>
          <w:lang w:val="en-US" w:eastAsia="zh-CN"/>
          <w14:textFill>
            <w14:solidFill>
              <w14:schemeClr w14:val="tx1"/>
            </w14:solidFill>
          </w14:textFill>
        </w:rPr>
      </w:pPr>
      <w:r>
        <w:rPr>
          <w:rFonts w:ascii="Times New Roman" w:hAnsi="Times New Roman" w:eastAsia="宋体"/>
          <w:color w:val="000000" w:themeColor="text1"/>
          <w14:textFill>
            <w14:solidFill>
              <w14:schemeClr w14:val="tx1"/>
            </w14:solidFill>
          </w14:textFill>
        </w:rPr>
        <w:fldChar w:fldCharType="end"/>
      </w:r>
    </w:p>
    <w:p w14:paraId="518A8641">
      <w:pPr>
        <w:tabs>
          <w:tab w:val="left" w:pos="509"/>
        </w:tabs>
        <w:bidi w:val="0"/>
        <w:jc w:val="left"/>
        <w:rPr>
          <w:rFonts w:hint="eastAsia"/>
          <w:color w:val="000000" w:themeColor="text1"/>
          <w:lang w:val="en-US" w:eastAsia="zh-CN"/>
          <w14:textFill>
            <w14:solidFill>
              <w14:schemeClr w14:val="tx1"/>
            </w14:solidFill>
          </w14:textFill>
        </w:rPr>
        <w:sectPr>
          <w:footerReference r:id="rId8" w:type="default"/>
          <w:pgSz w:w="11906" w:h="16838"/>
          <w:pgMar w:top="1247" w:right="1106" w:bottom="1089" w:left="1797" w:header="851" w:footer="850" w:gutter="0"/>
          <w:pgNumType w:fmt="upperRoman" w:start="1"/>
          <w:cols w:space="425" w:num="1"/>
          <w:docGrid w:type="lines" w:linePitch="312" w:charSpace="0"/>
        </w:sectPr>
      </w:pPr>
    </w:p>
    <w:p w14:paraId="33AD5EE6">
      <w:pPr>
        <w:pStyle w:val="2"/>
        <w:bidi w:val="0"/>
        <w:rPr>
          <w:color w:val="000000" w:themeColor="text1"/>
          <w14:textFill>
            <w14:solidFill>
              <w14:schemeClr w14:val="tx1"/>
            </w14:solidFill>
          </w14:textFill>
        </w:rPr>
      </w:pPr>
      <w:bookmarkStart w:id="21" w:name="_Toc2719"/>
      <w:bookmarkStart w:id="22" w:name="_Toc21834"/>
      <w:r>
        <w:rPr>
          <w:rFonts w:hint="eastAsia"/>
          <w:color w:val="000000" w:themeColor="text1"/>
          <w:lang w:eastAsia="zh-CN"/>
          <w14:textFill>
            <w14:solidFill>
              <w14:schemeClr w14:val="tx1"/>
            </w14:solidFill>
          </w14:textFill>
        </w:rPr>
        <w:t>第</w:t>
      </w: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章</w:t>
      </w:r>
      <w:r>
        <w:rPr>
          <w:color w:val="000000" w:themeColor="text1"/>
          <w14:textFill>
            <w14:solidFill>
              <w14:schemeClr w14:val="tx1"/>
            </w14:solidFill>
          </w14:textFill>
        </w:rPr>
        <w:t xml:space="preserve">  总则</w:t>
      </w:r>
      <w:bookmarkEnd w:id="0"/>
      <w:bookmarkEnd w:id="1"/>
      <w:bookmarkEnd w:id="2"/>
      <w:bookmarkEnd w:id="3"/>
      <w:bookmarkEnd w:id="4"/>
      <w:bookmarkEnd w:id="5"/>
      <w:bookmarkEnd w:id="6"/>
      <w:bookmarkEnd w:id="21"/>
      <w:bookmarkEnd w:id="22"/>
    </w:p>
    <w:p w14:paraId="7389B1A0">
      <w:pPr>
        <w:bidi w:val="0"/>
        <w:rPr>
          <w:rFonts w:hint="default"/>
          <w:color w:val="000000" w:themeColor="text1"/>
          <w:lang w:val="en-US" w:eastAsia="zh-CN"/>
          <w14:textFill>
            <w14:solidFill>
              <w14:schemeClr w14:val="tx1"/>
            </w14:solidFill>
          </w14:textFill>
        </w:rPr>
      </w:pPr>
      <w:bookmarkStart w:id="23" w:name="_Toc17987"/>
      <w:r>
        <w:rPr>
          <w:rFonts w:hint="eastAsia"/>
          <w:b/>
          <w:bCs/>
          <w:color w:val="000000" w:themeColor="text1"/>
          <w:lang w:val="en-US" w:eastAsia="zh-CN"/>
          <w14:textFill>
            <w14:solidFill>
              <w14:schemeClr w14:val="tx1"/>
            </w14:solidFill>
          </w14:textFill>
        </w:rPr>
        <w:t>1.0.1</w:t>
      </w:r>
      <w:r>
        <w:rPr>
          <w:rFonts w:hint="eastAsia"/>
          <w:color w:val="000000" w:themeColor="text1"/>
          <w:lang w:val="en-US" w:eastAsia="zh-CN"/>
          <w14:textFill>
            <w14:solidFill>
              <w14:schemeClr w14:val="tx1"/>
            </w14:solidFill>
          </w14:textFill>
        </w:rPr>
        <w:t xml:space="preserve">  </w:t>
      </w:r>
      <w:bookmarkEnd w:id="23"/>
      <w:r>
        <w:rPr>
          <w:rFonts w:hint="eastAsia"/>
          <w:color w:val="000000" w:themeColor="text1"/>
          <w:lang w:val="en-US" w:eastAsia="zh-CN"/>
          <w14:textFill>
            <w14:solidFill>
              <w14:schemeClr w14:val="tx1"/>
            </w14:solidFill>
          </w14:textFill>
        </w:rPr>
        <w:t>目的与意义</w:t>
      </w:r>
    </w:p>
    <w:p w14:paraId="6F279300">
      <w:pPr>
        <w:bidi w:val="0"/>
        <w:ind w:firstLine="480" w:firstLineChars="200"/>
        <w:rPr>
          <w:rFonts w:hint="default"/>
          <w:color w:val="000000" w:themeColor="text1"/>
          <w:szCs w:val="24"/>
          <w:lang w:val="en-US" w:eastAsia="zh-CN"/>
          <w14:textFill>
            <w14:solidFill>
              <w14:schemeClr w14:val="tx1"/>
            </w14:solidFill>
          </w14:textFill>
        </w:rPr>
      </w:pPr>
      <w:r>
        <w:rPr>
          <w:rFonts w:hint="eastAsia"/>
          <w:color w:val="000000" w:themeColor="text1"/>
          <w:szCs w:val="24"/>
          <w:lang w:val="en-US" w:eastAsia="zh-CN"/>
          <w14:textFill>
            <w14:solidFill>
              <w14:schemeClr w14:val="tx1"/>
            </w14:solidFill>
          </w14:textFill>
        </w:rPr>
        <w:t>为规范广州市高层建筑施工作业集成平台的管理，统一技术要求，并在施工中贯彻执行国家的技术经济政策，做到安全适用、确保质量、技术先进、经济合理、绿色低碳，制定本指南。</w:t>
      </w:r>
    </w:p>
    <w:p w14:paraId="1462C765">
      <w:pPr>
        <w:bidi w:val="0"/>
        <w:rPr>
          <w:rFonts w:hint="default"/>
          <w:color w:val="000000" w:themeColor="text1"/>
          <w:lang w:val="en-US" w:eastAsia="zh-CN"/>
          <w14:textFill>
            <w14:solidFill>
              <w14:schemeClr w14:val="tx1"/>
            </w14:solidFill>
          </w14:textFill>
        </w:rPr>
      </w:pPr>
      <w:bookmarkStart w:id="24" w:name="_Toc31575"/>
      <w:r>
        <w:rPr>
          <w:rFonts w:hint="eastAsia"/>
          <w:b/>
          <w:bCs/>
          <w:color w:val="000000" w:themeColor="text1"/>
          <w:lang w:val="en-US" w:eastAsia="zh-CN"/>
          <w14:textFill>
            <w14:solidFill>
              <w14:schemeClr w14:val="tx1"/>
            </w14:solidFill>
          </w14:textFill>
        </w:rPr>
        <w:t>1.0.2</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适用范围</w:t>
      </w:r>
      <w:bookmarkEnd w:id="24"/>
    </w:p>
    <w:p w14:paraId="0AB55AC0">
      <w:pPr>
        <w:bidi w:val="0"/>
        <w:ind w:firstLine="480" w:firstLineChars="200"/>
        <w:rPr>
          <w:rFonts w:hint="eastAsia" w:eastAsia="宋体"/>
          <w:color w:val="000000" w:themeColor="text1"/>
          <w:lang w:val="en-US" w:eastAsia="zh-CN"/>
          <w14:textFill>
            <w14:solidFill>
              <w14:schemeClr w14:val="tx1"/>
            </w14:solidFill>
          </w14:textFill>
        </w:rPr>
      </w:pPr>
      <w:r>
        <w:rPr>
          <w:rFonts w:hint="eastAsia"/>
          <w:color w:val="000000" w:themeColor="text1"/>
          <w:szCs w:val="24"/>
          <w:lang w:val="en-US" w:eastAsia="zh-CN"/>
          <w14:textFill>
            <w14:solidFill>
              <w14:schemeClr w14:val="tx1"/>
            </w14:solidFill>
          </w14:textFill>
        </w:rPr>
        <w:t>适用于广州市行政区域内高</w:t>
      </w:r>
      <w:r>
        <w:rPr>
          <w:rFonts w:hint="eastAsia"/>
          <w:color w:val="auto"/>
          <w:szCs w:val="24"/>
          <w:lang w:val="en-US" w:eastAsia="zh-CN"/>
        </w:rPr>
        <w:t>层、超高层建</w:t>
      </w:r>
      <w:r>
        <w:rPr>
          <w:rFonts w:hint="eastAsia"/>
          <w:color w:val="000000" w:themeColor="text1"/>
          <w:szCs w:val="24"/>
          <w:lang w:val="en-US" w:eastAsia="zh-CN"/>
          <w14:textFill>
            <w14:solidFill>
              <w14:schemeClr w14:val="tx1"/>
            </w14:solidFill>
          </w14:textFill>
        </w:rPr>
        <w:t>筑施工作业集成平台的设计、制造、安装、运行、拆除、维护、验收</w:t>
      </w:r>
      <w:r>
        <w:rPr>
          <w:rFonts w:hint="eastAsia"/>
          <w:color w:val="000000" w:themeColor="text1"/>
          <w:szCs w:val="24"/>
          <w14:textFill>
            <w14:solidFill>
              <w14:schemeClr w14:val="tx1"/>
            </w14:solidFill>
          </w14:textFill>
        </w:rPr>
        <w:t>。</w:t>
      </w:r>
    </w:p>
    <w:p w14:paraId="1E6A37A4">
      <w:pPr>
        <w:bidi w:val="0"/>
        <w:rPr>
          <w:rFonts w:hint="default"/>
          <w:color w:val="000000" w:themeColor="text1"/>
          <w:lang w:val="en-US" w:eastAsia="zh-CN"/>
          <w14:textFill>
            <w14:solidFill>
              <w14:schemeClr w14:val="tx1"/>
            </w14:solidFill>
          </w14:textFill>
        </w:rPr>
      </w:pPr>
      <w:bookmarkStart w:id="25" w:name="_Toc14933"/>
      <w:r>
        <w:rPr>
          <w:rFonts w:hint="eastAsia"/>
          <w:b/>
          <w:bCs/>
          <w:color w:val="000000" w:themeColor="text1"/>
          <w:lang w:val="en-US" w:eastAsia="zh-CN"/>
          <w14:textFill>
            <w14:solidFill>
              <w14:schemeClr w14:val="tx1"/>
            </w14:solidFill>
          </w14:textFill>
        </w:rPr>
        <w:t>1.0.3</w:t>
      </w:r>
      <w:r>
        <w:rPr>
          <w:rFonts w:hint="eastAsia"/>
          <w:color w:val="000000" w:themeColor="text1"/>
          <w:lang w:val="en-US" w:eastAsia="zh-CN"/>
          <w14:textFill>
            <w14:solidFill>
              <w14:schemeClr w14:val="tx1"/>
            </w14:solidFill>
          </w14:textFill>
        </w:rPr>
        <w:t xml:space="preserve">  </w:t>
      </w:r>
      <w:bookmarkEnd w:id="25"/>
      <w:r>
        <w:rPr>
          <w:rFonts w:hint="default"/>
          <w:color w:val="000000" w:themeColor="text1"/>
          <w:lang w:val="en-US" w:eastAsia="zh-CN"/>
          <w14:textFill>
            <w14:solidFill>
              <w14:schemeClr w14:val="tx1"/>
            </w14:solidFill>
          </w14:textFill>
        </w:rPr>
        <w:t>规范性引用文件</w:t>
      </w:r>
    </w:p>
    <w:p w14:paraId="589EFF2E">
      <w:pPr>
        <w:spacing w:line="360" w:lineRule="auto"/>
        <w:ind w:firstLine="480" w:firstLineChars="200"/>
        <w:jc w:val="both"/>
        <w:rPr>
          <w:rFonts w:ascii="Times New Roman" w:hAnsi="Times New Roman" w:eastAsia="宋体"/>
          <w:color w:val="000000" w:themeColor="text1"/>
          <w:szCs w:val="30"/>
          <w14:textFill>
            <w14:solidFill>
              <w14:schemeClr w14:val="tx1"/>
            </w14:solidFill>
          </w14:textFill>
        </w:rPr>
      </w:pPr>
      <w:r>
        <w:rPr>
          <w:rFonts w:hint="eastAsia"/>
          <w:color w:val="000000" w:themeColor="text1"/>
          <w:szCs w:val="24"/>
          <w:lang w:val="en-US" w:eastAsia="zh-CN"/>
          <w14:textFill>
            <w14:solidFill>
              <w14:schemeClr w14:val="tx1"/>
            </w14:solidFill>
          </w14:textFill>
        </w:rPr>
        <w:t>高层建筑施工装备集成平台的设计、制造、安装、运行、拆除、维护、验收，除应符合本指南的规定外，尚应符合国家及行业现行有关标准的规定。</w:t>
      </w:r>
      <w:r>
        <w:rPr>
          <w:rFonts w:ascii="Times New Roman" w:hAnsi="Times New Roman" w:eastAsia="宋体"/>
          <w:color w:val="000000" w:themeColor="text1"/>
          <w:szCs w:val="30"/>
          <w14:textFill>
            <w14:solidFill>
              <w14:schemeClr w14:val="tx1"/>
            </w14:solidFill>
          </w14:textFill>
        </w:rPr>
        <w:br w:type="page"/>
      </w:r>
      <w:bookmarkStart w:id="26" w:name="_Toc417580836"/>
      <w:bookmarkStart w:id="27" w:name="_Toc452029036"/>
      <w:bookmarkStart w:id="28" w:name="_Toc387913992"/>
      <w:bookmarkStart w:id="29" w:name="_Toc22837"/>
      <w:bookmarkStart w:id="30" w:name="_Toc429469175"/>
      <w:bookmarkStart w:id="31" w:name="_Toc493608146"/>
      <w:bookmarkStart w:id="32" w:name="_Toc417572929"/>
      <w:bookmarkStart w:id="33" w:name="_Toc417572980"/>
    </w:p>
    <w:p w14:paraId="53AEBDC8">
      <w:pPr>
        <w:pStyle w:val="2"/>
        <w:bidi w:val="0"/>
        <w:rPr>
          <w:rFonts w:hint="default" w:eastAsia="宋体"/>
          <w:color w:val="000000" w:themeColor="text1"/>
          <w:lang w:val="en-US" w:eastAsia="zh-CN"/>
          <w14:textFill>
            <w14:solidFill>
              <w14:schemeClr w14:val="tx1"/>
            </w14:solidFill>
          </w14:textFill>
        </w:rPr>
      </w:pPr>
      <w:bookmarkStart w:id="34" w:name="_Toc16741"/>
      <w:r>
        <w:rPr>
          <w:rFonts w:hint="eastAsia"/>
          <w:color w:val="000000" w:themeColor="text1"/>
          <w:lang w:eastAsia="zh-CN"/>
          <w14:textFill>
            <w14:solidFill>
              <w14:schemeClr w14:val="tx1"/>
            </w14:solidFill>
          </w14:textFill>
        </w:rPr>
        <w:t>第</w:t>
      </w:r>
      <w:r>
        <w:rPr>
          <w:rFonts w:hint="eastAsia"/>
          <w:color w:val="000000" w:themeColor="text1"/>
          <w:lang w:val="en-US" w:eastAsia="zh-CN"/>
          <w14:textFill>
            <w14:solidFill>
              <w14:schemeClr w14:val="tx1"/>
            </w14:solidFill>
          </w14:textFill>
        </w:rPr>
        <w:t>2</w:t>
      </w:r>
      <w:r>
        <w:rPr>
          <w:rFonts w:hint="eastAsia"/>
          <w:color w:val="000000" w:themeColor="text1"/>
          <w:lang w:eastAsia="zh-CN"/>
          <w14:textFill>
            <w14:solidFill>
              <w14:schemeClr w14:val="tx1"/>
            </w14:solidFill>
          </w14:textFill>
        </w:rPr>
        <w:t>章</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术语和符号</w:t>
      </w:r>
      <w:bookmarkEnd w:id="34"/>
    </w:p>
    <w:bookmarkEnd w:id="26"/>
    <w:bookmarkEnd w:id="27"/>
    <w:bookmarkEnd w:id="28"/>
    <w:bookmarkEnd w:id="29"/>
    <w:bookmarkEnd w:id="30"/>
    <w:bookmarkEnd w:id="31"/>
    <w:bookmarkEnd w:id="32"/>
    <w:bookmarkEnd w:id="33"/>
    <w:p w14:paraId="522DA6BE">
      <w:pPr>
        <w:pStyle w:val="3"/>
        <w:bidi w:val="0"/>
        <w:rPr>
          <w:b/>
          <w:bCs/>
          <w:color w:val="000000" w:themeColor="text1"/>
          <w14:textFill>
            <w14:solidFill>
              <w14:schemeClr w14:val="tx1"/>
            </w14:solidFill>
          </w14:textFill>
        </w:rPr>
      </w:pPr>
      <w:bookmarkStart w:id="35" w:name="_Toc20183"/>
      <w:bookmarkStart w:id="36" w:name="_Toc17219"/>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 xml:space="preserve">.1  </w:t>
      </w:r>
      <w:r>
        <w:rPr>
          <w:rFonts w:hint="eastAsia"/>
          <w:color w:val="000000" w:themeColor="text1"/>
          <w:lang w:val="en-US" w:eastAsia="zh-CN"/>
          <w14:textFill>
            <w14:solidFill>
              <w14:schemeClr w14:val="tx1"/>
            </w14:solidFill>
          </w14:textFill>
        </w:rPr>
        <w:t>术语</w:t>
      </w:r>
      <w:bookmarkEnd w:id="35"/>
      <w:bookmarkEnd w:id="36"/>
    </w:p>
    <w:p w14:paraId="68744923">
      <w:pPr>
        <w:bidi w:val="0"/>
        <w:rPr>
          <w:rFonts w:hint="eastAsia"/>
          <w:lang w:val="en-US" w:eastAsia="zh-CN"/>
        </w:rPr>
      </w:pPr>
      <w:r>
        <w:rPr>
          <w:b/>
          <w:bCs/>
        </w:rPr>
        <w:t>2.</w:t>
      </w:r>
      <w:r>
        <w:rPr>
          <w:rFonts w:hint="eastAsia"/>
          <w:b/>
          <w:bCs/>
        </w:rPr>
        <w:t>1</w:t>
      </w:r>
      <w:r>
        <w:rPr>
          <w:b/>
          <w:bCs/>
        </w:rPr>
        <w:t>.1</w:t>
      </w:r>
      <w:r>
        <w:rPr>
          <w:rFonts w:hint="eastAsia"/>
          <w:lang w:val="en-US" w:eastAsia="zh-CN"/>
        </w:rPr>
        <w:t xml:space="preserve">  施工作业集成平台 construction integrated platform</w:t>
      </w:r>
    </w:p>
    <w:p w14:paraId="4E4E4E2C">
      <w:pPr>
        <w:bidi w:val="0"/>
        <w:ind w:firstLine="480" w:firstLineChars="200"/>
        <w:rPr>
          <w:b/>
          <w:bCs/>
        </w:rPr>
      </w:pPr>
      <w:r>
        <w:rPr>
          <w:rFonts w:hint="eastAsia"/>
          <w:lang w:val="en-US" w:eastAsia="zh-CN"/>
        </w:rPr>
        <w:t>用于建筑物和构筑物结构施工，服务于钢结构吊装、钢筋绑扎、模板支设、混凝土浇筑等工序，具备多个作业面，集成多种设备设施，搭载物料和人员，沿施工对象整体爬升的集成化施工装备。本指南后续章节统一采用简称“集成平台”。</w:t>
      </w:r>
    </w:p>
    <w:p w14:paraId="5BB24A58">
      <w:pPr>
        <w:bidi w:val="0"/>
        <w:rPr>
          <w:rFonts w:hint="eastAsia"/>
          <w:lang w:val="en-US" w:eastAsia="zh-CN"/>
        </w:rPr>
      </w:pPr>
      <w:r>
        <w:rPr>
          <w:b/>
          <w:bCs/>
        </w:rPr>
        <w:t>2.</w:t>
      </w:r>
      <w:r>
        <w:rPr>
          <w:rFonts w:hint="eastAsia"/>
          <w:b/>
          <w:bCs/>
        </w:rPr>
        <w:t>1</w:t>
      </w:r>
      <w:r>
        <w:rPr>
          <w:b/>
          <w:bCs/>
        </w:rPr>
        <w:t>.</w:t>
      </w:r>
      <w:r>
        <w:rPr>
          <w:rFonts w:hint="eastAsia"/>
          <w:b/>
          <w:bCs/>
          <w:lang w:val="en-US" w:eastAsia="zh-CN"/>
        </w:rPr>
        <w:t>2</w:t>
      </w:r>
      <w:r>
        <w:rPr>
          <w:rFonts w:hint="eastAsia"/>
          <w:lang w:val="en-US" w:eastAsia="zh-CN"/>
        </w:rPr>
        <w:t xml:space="preserve">  支承系统 supporting system</w:t>
      </w:r>
    </w:p>
    <w:p w14:paraId="1EDF8D05">
      <w:pPr>
        <w:bidi w:val="0"/>
        <w:ind w:firstLine="480" w:firstLineChars="200"/>
        <w:rPr>
          <w:rFonts w:hint="eastAsia"/>
          <w:lang w:val="en-US" w:eastAsia="zh-CN"/>
        </w:rPr>
      </w:pPr>
      <w:r>
        <w:rPr>
          <w:rFonts w:hint="eastAsia"/>
          <w:lang w:val="en-US" w:eastAsia="zh-CN"/>
        </w:rPr>
        <w:t>用于将集成平台的荷载传递给建筑物的承载装置。</w:t>
      </w:r>
    </w:p>
    <w:p w14:paraId="03166AEE">
      <w:pPr>
        <w:bidi w:val="0"/>
        <w:rPr>
          <w:rFonts w:hint="eastAsia"/>
          <w:lang w:val="en-US" w:eastAsia="zh-CN"/>
        </w:rPr>
      </w:pPr>
      <w:r>
        <w:rPr>
          <w:rFonts w:hint="eastAsia"/>
          <w:lang w:val="en-US" w:eastAsia="zh-CN"/>
        </w:rPr>
        <w:t>注： 支承系统通常由支座、承力转换机构和支承立柱组成。</w:t>
      </w:r>
    </w:p>
    <w:p w14:paraId="639450EB">
      <w:pPr>
        <w:bidi w:val="0"/>
        <w:rPr>
          <w:rFonts w:hint="eastAsia"/>
          <w:lang w:val="en-US" w:eastAsia="zh-CN"/>
        </w:rPr>
      </w:pPr>
      <w:r>
        <w:rPr>
          <w:b/>
          <w:bCs/>
        </w:rPr>
        <w:t>2.</w:t>
      </w:r>
      <w:r>
        <w:rPr>
          <w:rFonts w:hint="eastAsia"/>
          <w:b/>
          <w:bCs/>
        </w:rPr>
        <w:t>1</w:t>
      </w:r>
      <w:r>
        <w:rPr>
          <w:b/>
          <w:bCs/>
        </w:rPr>
        <w:t>.</w:t>
      </w:r>
      <w:r>
        <w:rPr>
          <w:rFonts w:hint="eastAsia"/>
          <w:b/>
          <w:bCs/>
          <w:lang w:val="en-US" w:eastAsia="zh-CN"/>
        </w:rPr>
        <w:t>3</w:t>
      </w:r>
      <w:r>
        <w:rPr>
          <w:rFonts w:hint="eastAsia"/>
          <w:lang w:val="en-US" w:eastAsia="zh-CN"/>
        </w:rPr>
        <w:t xml:space="preserve">  钢平台系统 steel frame system </w:t>
      </w:r>
    </w:p>
    <w:p w14:paraId="6E34FC42">
      <w:pPr>
        <w:bidi w:val="0"/>
        <w:ind w:firstLine="480" w:firstLineChars="200"/>
        <w:rPr>
          <w:rFonts w:hint="eastAsia"/>
          <w:lang w:val="en-US" w:eastAsia="zh-CN"/>
        </w:rPr>
      </w:pPr>
      <w:r>
        <w:rPr>
          <w:rFonts w:hint="eastAsia"/>
          <w:lang w:val="en-US" w:eastAsia="zh-CN"/>
        </w:rPr>
        <w:t>用以承载挂架、模板及施工设备设施的空间框架结构。</w:t>
      </w:r>
    </w:p>
    <w:p w14:paraId="5006484C">
      <w:pPr>
        <w:bidi w:val="0"/>
        <w:rPr>
          <w:rFonts w:hint="eastAsia"/>
          <w:lang w:val="en-US" w:eastAsia="zh-CN"/>
        </w:rPr>
      </w:pPr>
      <w:r>
        <w:rPr>
          <w:b/>
          <w:bCs/>
        </w:rPr>
        <w:t>2.</w:t>
      </w:r>
      <w:r>
        <w:rPr>
          <w:rFonts w:hint="eastAsia"/>
          <w:b/>
          <w:bCs/>
        </w:rPr>
        <w:t>1</w:t>
      </w:r>
      <w:r>
        <w:rPr>
          <w:b/>
          <w:bCs/>
        </w:rPr>
        <w:t>.</w:t>
      </w:r>
      <w:r>
        <w:rPr>
          <w:rFonts w:hint="eastAsia"/>
          <w:b/>
          <w:bCs/>
          <w:lang w:val="en-US" w:eastAsia="zh-CN"/>
        </w:rPr>
        <w:t>4</w:t>
      </w:r>
      <w:r>
        <w:rPr>
          <w:rFonts w:hint="eastAsia"/>
          <w:lang w:val="en-US" w:eastAsia="zh-CN"/>
        </w:rPr>
        <w:t xml:space="preserve"> 支座 supporting point</w:t>
      </w:r>
    </w:p>
    <w:p w14:paraId="30F1303B">
      <w:pPr>
        <w:bidi w:val="0"/>
        <w:ind w:firstLine="480" w:firstLineChars="200"/>
        <w:rPr>
          <w:rFonts w:hint="eastAsia"/>
          <w:lang w:val="en-US" w:eastAsia="zh-CN"/>
        </w:rPr>
      </w:pPr>
      <w:r>
        <w:rPr>
          <w:rFonts w:hint="eastAsia"/>
          <w:lang w:val="en-US" w:eastAsia="zh-CN"/>
        </w:rPr>
        <w:t>附着在混凝土墙体上的承力支撑组件。</w:t>
      </w:r>
    </w:p>
    <w:p w14:paraId="6216CD5E">
      <w:pPr>
        <w:bidi w:val="0"/>
        <w:rPr>
          <w:rFonts w:hint="eastAsia"/>
          <w:lang w:val="en-US" w:eastAsia="zh-CN"/>
        </w:rPr>
      </w:pPr>
      <w:r>
        <w:rPr>
          <w:b/>
          <w:bCs/>
        </w:rPr>
        <w:t>2.</w:t>
      </w:r>
      <w:r>
        <w:rPr>
          <w:rFonts w:hint="eastAsia"/>
          <w:b/>
          <w:bCs/>
        </w:rPr>
        <w:t>1</w:t>
      </w:r>
      <w:r>
        <w:rPr>
          <w:b/>
          <w:bCs/>
        </w:rPr>
        <w:t>.</w:t>
      </w:r>
      <w:r>
        <w:rPr>
          <w:rFonts w:hint="eastAsia"/>
          <w:b/>
          <w:bCs/>
          <w:lang w:val="en-US" w:eastAsia="zh-CN"/>
        </w:rPr>
        <w:t>5</w:t>
      </w:r>
      <w:r>
        <w:rPr>
          <w:rFonts w:hint="eastAsia"/>
          <w:lang w:val="en-US" w:eastAsia="zh-CN"/>
        </w:rPr>
        <w:t xml:space="preserve"> 承力转换机构 load transfer mechanism</w:t>
      </w:r>
    </w:p>
    <w:p w14:paraId="10219DB7">
      <w:pPr>
        <w:bidi w:val="0"/>
        <w:ind w:firstLine="480" w:firstLineChars="200"/>
        <w:rPr>
          <w:b/>
          <w:bCs/>
        </w:rPr>
      </w:pPr>
      <w:r>
        <w:rPr>
          <w:rFonts w:hint="eastAsia"/>
          <w:lang w:val="en-US" w:eastAsia="zh-CN"/>
        </w:rPr>
        <w:t>用于支承立柱与支座之间传力，实现支承立柱顶升的装置。</w:t>
      </w:r>
    </w:p>
    <w:p w14:paraId="3F5C098A">
      <w:pPr>
        <w:bidi w:val="0"/>
        <w:rPr>
          <w:rFonts w:hint="eastAsia"/>
          <w:lang w:val="en-US" w:eastAsia="zh-CN"/>
        </w:rPr>
      </w:pPr>
      <w:r>
        <w:rPr>
          <w:b/>
          <w:bCs/>
        </w:rPr>
        <w:t>2.</w:t>
      </w:r>
      <w:r>
        <w:rPr>
          <w:rFonts w:hint="eastAsia"/>
          <w:b/>
          <w:bCs/>
        </w:rPr>
        <w:t>1</w:t>
      </w:r>
      <w:r>
        <w:rPr>
          <w:b/>
          <w:bCs/>
        </w:rPr>
        <w:t>.</w:t>
      </w:r>
      <w:r>
        <w:rPr>
          <w:rFonts w:hint="eastAsia"/>
          <w:b/>
          <w:bCs/>
          <w:lang w:val="en-US" w:eastAsia="zh-CN"/>
        </w:rPr>
        <w:t>6</w:t>
      </w:r>
      <w:r>
        <w:rPr>
          <w:rFonts w:hint="eastAsia"/>
          <w:lang w:val="en-US" w:eastAsia="zh-CN"/>
        </w:rPr>
        <w:t xml:space="preserve">  挂架系统 scaffolding system</w:t>
      </w:r>
    </w:p>
    <w:p w14:paraId="09E5AC2E">
      <w:pPr>
        <w:bidi w:val="0"/>
        <w:ind w:firstLine="480" w:firstLineChars="200"/>
        <w:rPr>
          <w:rFonts w:hint="eastAsia"/>
          <w:lang w:val="en-US" w:eastAsia="zh-CN"/>
        </w:rPr>
      </w:pPr>
      <w:r>
        <w:rPr>
          <w:rFonts w:hint="eastAsia"/>
          <w:lang w:val="en-US" w:eastAsia="zh-CN"/>
        </w:rPr>
        <w:t>搭载于钢平台，为建筑施工提供作业条件和安全防护的脚手架。</w:t>
      </w:r>
    </w:p>
    <w:p w14:paraId="269077EA">
      <w:pPr>
        <w:bidi w:val="0"/>
        <w:rPr>
          <w:rFonts w:hint="eastAsia"/>
          <w:lang w:val="en-US" w:eastAsia="zh-CN"/>
        </w:rPr>
      </w:pPr>
      <w:r>
        <w:rPr>
          <w:rFonts w:hint="eastAsia"/>
          <w:lang w:val="en-US" w:eastAsia="zh-CN"/>
        </w:rPr>
        <w:t>注：挂架系统通常由立杆、横杆、走道板、防护网和楼梯组成。</w:t>
      </w:r>
    </w:p>
    <w:p w14:paraId="59D1AFFD">
      <w:pPr>
        <w:bidi w:val="0"/>
        <w:rPr>
          <w:rFonts w:hint="eastAsia"/>
          <w:lang w:val="en-US" w:eastAsia="zh-CN"/>
        </w:rPr>
      </w:pPr>
      <w:r>
        <w:rPr>
          <w:b/>
          <w:bCs/>
        </w:rPr>
        <w:t>2.</w:t>
      </w:r>
      <w:r>
        <w:rPr>
          <w:rFonts w:hint="eastAsia"/>
          <w:b/>
          <w:bCs/>
        </w:rPr>
        <w:t>1</w:t>
      </w:r>
      <w:r>
        <w:rPr>
          <w:b/>
          <w:bCs/>
        </w:rPr>
        <w:t>.</w:t>
      </w:r>
      <w:r>
        <w:rPr>
          <w:rFonts w:hint="eastAsia"/>
          <w:b/>
          <w:bCs/>
          <w:lang w:val="en-US" w:eastAsia="zh-CN"/>
        </w:rPr>
        <w:t>7</w:t>
      </w:r>
      <w:r>
        <w:rPr>
          <w:rFonts w:hint="eastAsia"/>
          <w:lang w:val="en-US" w:eastAsia="zh-CN"/>
        </w:rPr>
        <w:t xml:space="preserve">  模板系统 formwork system</w:t>
      </w:r>
    </w:p>
    <w:p w14:paraId="1BFEE88A">
      <w:pPr>
        <w:bidi w:val="0"/>
        <w:ind w:firstLine="480" w:firstLineChars="200"/>
        <w:rPr>
          <w:rFonts w:hint="eastAsia"/>
          <w:lang w:val="en-US" w:eastAsia="zh-CN"/>
        </w:rPr>
      </w:pPr>
      <w:r>
        <w:rPr>
          <w:rFonts w:hint="eastAsia"/>
          <w:lang w:val="en-US" w:eastAsia="zh-CN"/>
        </w:rPr>
        <w:t>搭载于钢平台，可随集成平台同步顶升，为新浇混凝土成型提供支承的构造。</w:t>
      </w:r>
    </w:p>
    <w:p w14:paraId="7CEC2285">
      <w:pPr>
        <w:bidi w:val="0"/>
        <w:rPr>
          <w:b/>
          <w:bCs/>
        </w:rPr>
      </w:pPr>
      <w:r>
        <w:rPr>
          <w:rFonts w:hint="eastAsia"/>
          <w:lang w:val="en-US" w:eastAsia="zh-CN"/>
        </w:rPr>
        <w:t>注：模板系统通常由吊具和模板组成。</w:t>
      </w:r>
    </w:p>
    <w:p w14:paraId="617F2156">
      <w:pPr>
        <w:bidi w:val="0"/>
        <w:rPr>
          <w:rFonts w:hint="eastAsia"/>
          <w:lang w:val="en-US" w:eastAsia="zh-CN"/>
        </w:rPr>
      </w:pPr>
      <w:r>
        <w:rPr>
          <w:b/>
          <w:bCs/>
        </w:rPr>
        <w:t>2.</w:t>
      </w:r>
      <w:r>
        <w:rPr>
          <w:rFonts w:hint="eastAsia"/>
          <w:b/>
          <w:bCs/>
        </w:rPr>
        <w:t>1</w:t>
      </w:r>
      <w:r>
        <w:rPr>
          <w:b/>
          <w:bCs/>
        </w:rPr>
        <w:t>.</w:t>
      </w:r>
      <w:r>
        <w:rPr>
          <w:rFonts w:hint="eastAsia"/>
          <w:b/>
          <w:bCs/>
          <w:lang w:val="en-US" w:eastAsia="zh-CN"/>
        </w:rPr>
        <w:t>8</w:t>
      </w:r>
      <w:r>
        <w:rPr>
          <w:rFonts w:hint="eastAsia"/>
          <w:lang w:val="en-US" w:eastAsia="zh-CN"/>
        </w:rPr>
        <w:t xml:space="preserve">  集成设备设施 integrated devices and facilities</w:t>
      </w:r>
    </w:p>
    <w:p w14:paraId="697040EF">
      <w:pPr>
        <w:bidi w:val="0"/>
        <w:ind w:firstLine="480" w:firstLineChars="200"/>
        <w:rPr>
          <w:rFonts w:hint="eastAsia"/>
          <w:lang w:val="en-US" w:eastAsia="zh-CN"/>
        </w:rPr>
      </w:pPr>
      <w:r>
        <w:rPr>
          <w:rFonts w:hint="eastAsia"/>
          <w:lang w:val="en-US" w:eastAsia="zh-CN"/>
        </w:rPr>
        <w:t>装配于集成平台上的施工设备设施。</w:t>
      </w:r>
    </w:p>
    <w:p w14:paraId="1E921EF7">
      <w:pPr>
        <w:bidi w:val="0"/>
        <w:rPr>
          <w:rFonts w:hint="eastAsia"/>
          <w:lang w:val="en-US" w:eastAsia="zh-CN"/>
        </w:rPr>
      </w:pPr>
      <w:r>
        <w:rPr>
          <w:rFonts w:hint="eastAsia"/>
          <w:lang w:val="en-US" w:eastAsia="zh-CN"/>
        </w:rPr>
        <w:t>注：集成设备设施主要包括起重机、施工升降机、混凝土布料机、建筑机器人、降温降尘设施等。</w:t>
      </w:r>
    </w:p>
    <w:p w14:paraId="05B0A964">
      <w:pPr>
        <w:bidi w:val="0"/>
        <w:rPr>
          <w:rFonts w:hint="eastAsia"/>
          <w:lang w:val="en-US" w:eastAsia="zh-CN"/>
        </w:rPr>
      </w:pPr>
      <w:r>
        <w:rPr>
          <w:b/>
          <w:bCs/>
        </w:rPr>
        <w:t>2.</w:t>
      </w:r>
      <w:r>
        <w:rPr>
          <w:rFonts w:hint="eastAsia"/>
          <w:b/>
          <w:bCs/>
        </w:rPr>
        <w:t>1</w:t>
      </w:r>
      <w:r>
        <w:rPr>
          <w:b/>
          <w:bCs/>
        </w:rPr>
        <w:t>.</w:t>
      </w:r>
      <w:r>
        <w:rPr>
          <w:rFonts w:hint="eastAsia"/>
          <w:b/>
          <w:bCs/>
          <w:lang w:val="en-US" w:eastAsia="zh-CN"/>
        </w:rPr>
        <w:t>9</w:t>
      </w:r>
      <w:r>
        <w:rPr>
          <w:rFonts w:hint="eastAsia"/>
          <w:lang w:val="en-US" w:eastAsia="zh-CN"/>
        </w:rPr>
        <w:t xml:space="preserve">  动力系统 hydraulic system</w:t>
      </w:r>
    </w:p>
    <w:p w14:paraId="2B6A9E4C">
      <w:pPr>
        <w:bidi w:val="0"/>
        <w:ind w:firstLine="480" w:firstLineChars="200"/>
        <w:rPr>
          <w:rFonts w:hint="default"/>
          <w:lang w:val="en-US" w:eastAsia="zh-CN"/>
        </w:rPr>
      </w:pPr>
      <w:r>
        <w:rPr>
          <w:rFonts w:hint="eastAsia"/>
          <w:lang w:val="en-US" w:eastAsia="zh-CN"/>
        </w:rPr>
        <w:t>为集成平台沿建筑物整体顶升提供动力的装置。</w:t>
      </w:r>
    </w:p>
    <w:p w14:paraId="5A7BDB22">
      <w:pPr>
        <w:bidi w:val="0"/>
        <w:rPr>
          <w:rFonts w:hint="eastAsia"/>
          <w:lang w:val="en-US" w:eastAsia="zh-CN"/>
        </w:rPr>
      </w:pPr>
      <w:r>
        <w:rPr>
          <w:rFonts w:hint="eastAsia"/>
          <w:lang w:val="en-US" w:eastAsia="zh-CN"/>
        </w:rPr>
        <w:t>注：指南动力系统主要针对液压系统，液压系统通常由液压泵、液压缸、控制元件、辅助元件和液压油组成。</w:t>
      </w:r>
    </w:p>
    <w:p w14:paraId="19198EFF">
      <w:pPr>
        <w:bidi w:val="0"/>
        <w:rPr>
          <w:rFonts w:hint="eastAsia"/>
          <w:highlight w:val="none"/>
          <w:lang w:val="en-US" w:eastAsia="zh-CN"/>
        </w:rPr>
      </w:pPr>
      <w:r>
        <w:rPr>
          <w:b/>
          <w:bCs/>
          <w:highlight w:val="none"/>
        </w:rPr>
        <w:t>2.</w:t>
      </w:r>
      <w:r>
        <w:rPr>
          <w:rFonts w:hint="eastAsia"/>
          <w:b/>
          <w:bCs/>
          <w:highlight w:val="none"/>
        </w:rPr>
        <w:t>1</w:t>
      </w:r>
      <w:r>
        <w:rPr>
          <w:b/>
          <w:bCs/>
          <w:highlight w:val="none"/>
        </w:rPr>
        <w:t>.</w:t>
      </w:r>
      <w:r>
        <w:rPr>
          <w:rFonts w:hint="eastAsia"/>
          <w:b/>
          <w:bCs/>
          <w:highlight w:val="none"/>
          <w:lang w:val="en-US" w:eastAsia="zh-CN"/>
        </w:rPr>
        <w:t>10</w:t>
      </w:r>
      <w:r>
        <w:rPr>
          <w:rFonts w:hint="eastAsia"/>
          <w:highlight w:val="none"/>
          <w:lang w:val="en-US" w:eastAsia="zh-CN"/>
        </w:rPr>
        <w:t xml:space="preserve"> 电气系统 electrical system</w:t>
      </w:r>
    </w:p>
    <w:p w14:paraId="29A92AFE">
      <w:pPr>
        <w:bidi w:val="0"/>
        <w:ind w:firstLine="480" w:firstLineChars="200"/>
        <w:rPr>
          <w:rFonts w:hint="eastAsia"/>
          <w:highlight w:val="none"/>
          <w:lang w:val="en-US" w:eastAsia="zh-CN"/>
        </w:rPr>
      </w:pPr>
      <w:r>
        <w:rPr>
          <w:rFonts w:hint="eastAsia"/>
          <w:highlight w:val="none"/>
          <w:lang w:val="en-US" w:eastAsia="zh-CN"/>
        </w:rPr>
        <w:t>为集成平台提供配电、 控制、照明、监测与防雷接地等系统。</w:t>
      </w:r>
    </w:p>
    <w:p w14:paraId="3578B9C9">
      <w:pPr>
        <w:bidi w:val="0"/>
        <w:rPr>
          <w:rFonts w:hint="eastAsia"/>
          <w:lang w:val="en-US" w:eastAsia="zh-CN"/>
        </w:rPr>
      </w:pPr>
      <w:r>
        <w:rPr>
          <w:b/>
          <w:bCs/>
        </w:rPr>
        <w:t>2.</w:t>
      </w:r>
      <w:r>
        <w:rPr>
          <w:rFonts w:hint="eastAsia"/>
          <w:b/>
          <w:bCs/>
        </w:rPr>
        <w:t>1</w:t>
      </w:r>
      <w:r>
        <w:rPr>
          <w:rFonts w:hint="eastAsia"/>
          <w:b/>
          <w:bCs/>
          <w:lang w:val="en-US" w:eastAsia="zh-CN"/>
        </w:rPr>
        <w:t>.11</w:t>
      </w:r>
      <w:r>
        <w:rPr>
          <w:rFonts w:hint="eastAsia"/>
          <w:lang w:val="en-US" w:eastAsia="zh-CN"/>
        </w:rPr>
        <w:t xml:space="preserve">  监测系统 monitoring system</w:t>
      </w:r>
    </w:p>
    <w:p w14:paraId="00315BEE">
      <w:pPr>
        <w:bidi w:val="0"/>
        <w:ind w:firstLine="480" w:firstLineChars="200"/>
        <w:rPr>
          <w:b/>
          <w:bCs/>
          <w:color w:val="000000" w:themeColor="text1"/>
          <w14:textFill>
            <w14:solidFill>
              <w14:schemeClr w14:val="tx1"/>
            </w14:solidFill>
          </w14:textFill>
        </w:rPr>
      </w:pPr>
      <w:r>
        <w:rPr>
          <w:rFonts w:hint="eastAsia"/>
          <w:lang w:val="en-US" w:eastAsia="zh-CN"/>
        </w:rPr>
        <w:t>监测集成平台工作环境、运行状态的装置及软件系统。</w:t>
      </w:r>
    </w:p>
    <w:p w14:paraId="68019608">
      <w:pPr>
        <w:pStyle w:val="3"/>
        <w:bidi w:val="0"/>
        <w:rPr>
          <w:b/>
          <w:bCs/>
          <w:color w:val="000000" w:themeColor="text1"/>
          <w14:textFill>
            <w14:solidFill>
              <w14:schemeClr w14:val="tx1"/>
            </w14:solidFill>
          </w14:textFill>
        </w:rPr>
      </w:pPr>
      <w:bookmarkStart w:id="37" w:name="_Toc12850"/>
      <w:bookmarkStart w:id="38" w:name="_Toc25738"/>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符号与缩略语</w:t>
      </w:r>
      <w:bookmarkEnd w:id="37"/>
      <w:bookmarkEnd w:id="38"/>
    </w:p>
    <w:p w14:paraId="47E9D5D7">
      <w:pPr>
        <w:pStyle w:val="3"/>
        <w:rPr>
          <w:rFonts w:hint="eastAsia" w:eastAsia="宋体"/>
          <w:bCs/>
          <w:highlight w:val="none"/>
          <w:lang w:eastAsia="zh-CN"/>
        </w:rPr>
      </w:pPr>
      <w:bookmarkStart w:id="39" w:name="_Toc13028"/>
      <w:bookmarkStart w:id="40" w:name="_Toc24513"/>
      <w:bookmarkStart w:id="41" w:name="_Toc429469176"/>
      <w:bookmarkStart w:id="42" w:name="_Toc387913993"/>
      <w:bookmarkStart w:id="43" w:name="_Toc417580837"/>
      <w:bookmarkStart w:id="44" w:name="_Toc452029037"/>
      <w:bookmarkStart w:id="45" w:name="_Toc417572930"/>
      <w:bookmarkStart w:id="46" w:name="_Toc417572981"/>
      <w:r>
        <w:rPr>
          <w:rFonts w:hint="eastAsia"/>
          <w:highlight w:val="none"/>
          <w:lang w:val="en-US" w:eastAsia="zh-CN"/>
        </w:rPr>
        <w:t>缩略语</w:t>
      </w:r>
      <w:bookmarkEnd w:id="39"/>
      <w:bookmarkEnd w:id="40"/>
    </w:p>
    <w:p w14:paraId="2E2C0FE9">
      <w:pPr>
        <w:rPr>
          <w:sz w:val="24"/>
          <w:szCs w:val="24"/>
        </w:rPr>
      </w:pPr>
      <w:r>
        <w:rPr>
          <w:b/>
          <w:bCs/>
          <w:sz w:val="24"/>
          <w:szCs w:val="24"/>
        </w:rPr>
        <w:t>2.</w:t>
      </w:r>
      <w:r>
        <w:rPr>
          <w:rFonts w:hint="eastAsia"/>
          <w:b/>
          <w:bCs/>
          <w:sz w:val="24"/>
          <w:szCs w:val="24"/>
        </w:rPr>
        <w:t>2</w:t>
      </w:r>
      <w:r>
        <w:rPr>
          <w:b/>
          <w:bCs/>
          <w:sz w:val="24"/>
          <w:szCs w:val="24"/>
        </w:rPr>
        <w:t>.</w:t>
      </w:r>
      <w:r>
        <w:rPr>
          <w:rFonts w:hint="eastAsia"/>
          <w:b/>
          <w:bCs/>
          <w:sz w:val="24"/>
          <w:szCs w:val="24"/>
          <w:lang w:val="en-US" w:eastAsia="zh-CN"/>
        </w:rPr>
        <w:t>1</w:t>
      </w:r>
      <w:r>
        <w:rPr>
          <w:sz w:val="24"/>
          <w:szCs w:val="24"/>
        </w:rPr>
        <w:t xml:space="preserve">  </w:t>
      </w:r>
      <w:r>
        <w:rPr>
          <w:rFonts w:ascii="Helvetica LT Pro" w:hAnsi="Helvetica LT Pro" w:eastAsia="Helvetica LT Pro" w:cs="Helvetica LT Pro"/>
          <w:i w:val="0"/>
          <w:iCs w:val="0"/>
          <w:caps w:val="0"/>
          <w:color w:val="333333"/>
          <w:spacing w:val="0"/>
          <w:sz w:val="24"/>
          <w:szCs w:val="24"/>
          <w:shd w:val="clear" w:fill="FFFFFF"/>
        </w:rPr>
        <w:t>安全可编程系统</w:t>
      </w:r>
    </w:p>
    <w:p w14:paraId="461D0553">
      <w:pPr>
        <w:ind w:firstLine="480" w:firstLineChars="200"/>
        <w:rPr>
          <w:rFonts w:hint="default" w:ascii="Times New Roman" w:hAnsi="Times New Roman" w:eastAsia="Helvetica LT Pro" w:cs="Times New Roman"/>
          <w:i w:val="0"/>
          <w:iCs w:val="0"/>
          <w:caps w:val="0"/>
          <w:color w:val="333333"/>
          <w:spacing w:val="0"/>
          <w:sz w:val="24"/>
          <w:szCs w:val="24"/>
          <w:shd w:val="clear" w:fill="FFFFFF"/>
          <w:lang w:val="en-US" w:eastAsia="zh-CN"/>
        </w:rPr>
      </w:pPr>
      <w:r>
        <w:rPr>
          <w:rFonts w:hint="default" w:ascii="Times New Roman" w:hAnsi="Times New Roman" w:eastAsia="Helvetica LT Pro" w:cs="Times New Roman"/>
          <w:i w:val="0"/>
          <w:iCs w:val="0"/>
          <w:caps w:val="0"/>
          <w:color w:val="333333"/>
          <w:spacing w:val="0"/>
          <w:sz w:val="24"/>
          <w:szCs w:val="24"/>
          <w:shd w:val="clear" w:fill="FFFFFF"/>
          <w:lang w:val="en-US" w:eastAsia="zh-CN"/>
        </w:rPr>
        <w:t>简称安全PLC（Programmable Logic Controller）。符合</w:t>
      </w:r>
      <w:r>
        <w:rPr>
          <w:rFonts w:hint="eastAsia" w:eastAsia="Helvetica LT Pro" w:cs="Times New Roman"/>
          <w:i w:val="0"/>
          <w:iCs w:val="0"/>
          <w:caps w:val="0"/>
          <w:color w:val="333333"/>
          <w:spacing w:val="0"/>
          <w:sz w:val="24"/>
          <w:szCs w:val="24"/>
          <w:shd w:val="clear" w:fill="FFFFFF"/>
          <w:lang w:val="en-US" w:eastAsia="zh-CN"/>
        </w:rPr>
        <w:t>国际</w:t>
      </w:r>
      <w:r>
        <w:rPr>
          <w:rFonts w:hint="default" w:ascii="Times New Roman" w:hAnsi="Times New Roman" w:eastAsia="Helvetica LT Pro" w:cs="Times New Roman"/>
          <w:i w:val="0"/>
          <w:iCs w:val="0"/>
          <w:caps w:val="0"/>
          <w:color w:val="333333"/>
          <w:spacing w:val="0"/>
          <w:sz w:val="24"/>
          <w:szCs w:val="24"/>
          <w:shd w:val="clear" w:fill="FFFFFF"/>
          <w:lang w:val="en-US" w:eastAsia="zh-CN"/>
        </w:rPr>
        <w:t>安全标准的可编程控制器，在系统故障时仍能正确响应并切断输出。依托安全PLC的双通道冗余架构，可实现施工设备急停、安全门联锁等功能，故障时自动触发安全停机，避免人员设备事故。</w:t>
      </w:r>
    </w:p>
    <w:p w14:paraId="2956A43F">
      <w:pPr>
        <w:rPr>
          <w:sz w:val="24"/>
          <w:szCs w:val="24"/>
        </w:rPr>
      </w:pPr>
      <w:r>
        <w:rPr>
          <w:b/>
          <w:bCs/>
          <w:sz w:val="24"/>
          <w:szCs w:val="24"/>
        </w:rPr>
        <w:t>2.</w:t>
      </w:r>
      <w:r>
        <w:rPr>
          <w:rFonts w:hint="eastAsia"/>
          <w:b/>
          <w:bCs/>
          <w:sz w:val="24"/>
          <w:szCs w:val="24"/>
        </w:rPr>
        <w:t>2</w:t>
      </w:r>
      <w:r>
        <w:rPr>
          <w:b/>
          <w:bCs/>
          <w:sz w:val="24"/>
          <w:szCs w:val="24"/>
        </w:rPr>
        <w:t>.</w:t>
      </w:r>
      <w:r>
        <w:rPr>
          <w:rFonts w:hint="eastAsia"/>
          <w:b/>
          <w:bCs/>
          <w:sz w:val="24"/>
          <w:szCs w:val="24"/>
          <w:lang w:val="en-US" w:eastAsia="zh-CN"/>
        </w:rPr>
        <w:t>2</w:t>
      </w:r>
      <w:r>
        <w:rPr>
          <w:sz w:val="24"/>
          <w:szCs w:val="24"/>
        </w:rPr>
        <w:t xml:space="preserve">  </w:t>
      </w:r>
      <w:r>
        <w:rPr>
          <w:rFonts w:hint="eastAsia"/>
          <w:sz w:val="24"/>
          <w:szCs w:val="24"/>
          <w:lang w:val="en-US" w:eastAsia="zh-CN"/>
        </w:rPr>
        <w:t>人机界面</w:t>
      </w:r>
    </w:p>
    <w:p w14:paraId="0CBE511F">
      <w:pPr>
        <w:ind w:firstLine="480" w:firstLineChars="200"/>
        <w:rPr>
          <w:rFonts w:hint="eastAsia" w:ascii="Times New Roman" w:hAnsi="Times New Roman" w:eastAsia="Helvetica LT Pro" w:cs="Times New Roman"/>
          <w:i w:val="0"/>
          <w:iCs w:val="0"/>
          <w:caps w:val="0"/>
          <w:color w:val="333333"/>
          <w:spacing w:val="0"/>
          <w:sz w:val="24"/>
          <w:szCs w:val="24"/>
          <w:shd w:val="clear" w:fill="FFFFFF"/>
          <w:lang w:val="en-US" w:eastAsia="zh-CN"/>
        </w:rPr>
      </w:pPr>
      <w:r>
        <w:rPr>
          <w:rFonts w:hint="default" w:ascii="Times New Roman" w:hAnsi="Times New Roman" w:eastAsia="Helvetica LT Pro" w:cs="Times New Roman"/>
          <w:i w:val="0"/>
          <w:iCs w:val="0"/>
          <w:caps w:val="0"/>
          <w:color w:val="333333"/>
          <w:spacing w:val="0"/>
          <w:sz w:val="24"/>
          <w:szCs w:val="24"/>
          <w:shd w:val="clear" w:fill="FFFFFF"/>
          <w:lang w:val="en-US" w:eastAsia="zh-CN"/>
        </w:rPr>
        <w:t>简称HMI (Human-Machine Interface</w:t>
      </w:r>
      <w:r>
        <w:rPr>
          <w:rFonts w:hint="eastAsia" w:eastAsia="Helvetica LT Pro" w:cs="Times New Roman"/>
          <w:i w:val="0"/>
          <w:iCs w:val="0"/>
          <w:caps w:val="0"/>
          <w:color w:val="333333"/>
          <w:spacing w:val="0"/>
          <w:sz w:val="24"/>
          <w:szCs w:val="24"/>
          <w:shd w:val="clear" w:fill="FFFFFF"/>
          <w:lang w:val="en-US" w:eastAsia="zh-CN"/>
        </w:rPr>
        <w:t>）</w:t>
      </w:r>
      <w:r>
        <w:rPr>
          <w:rFonts w:hint="default" w:ascii="Times New Roman" w:hAnsi="Times New Roman" w:eastAsia="Helvetica LT Pro" w:cs="Times New Roman"/>
          <w:i w:val="0"/>
          <w:iCs w:val="0"/>
          <w:caps w:val="0"/>
          <w:color w:val="333333"/>
          <w:spacing w:val="0"/>
          <w:sz w:val="24"/>
          <w:szCs w:val="24"/>
          <w:shd w:val="clear" w:fill="FFFFFF"/>
          <w:lang w:val="en-US" w:eastAsia="zh-CN"/>
        </w:rPr>
        <w:t>。计算机同</w:t>
      </w:r>
      <w:r>
        <w:rPr>
          <w:rFonts w:hint="default" w:ascii="Times New Roman" w:hAnsi="Times New Roman" w:eastAsia="Helvetica LT Pro" w:cs="Times New Roman"/>
          <w:i w:val="0"/>
          <w:iCs w:val="0"/>
          <w:caps w:val="0"/>
          <w:color w:val="333333"/>
          <w:spacing w:val="0"/>
          <w:sz w:val="24"/>
          <w:szCs w:val="24"/>
          <w:shd w:val="clear" w:fill="FFFFFF"/>
          <w:lang w:val="en-US" w:eastAsia="zh-CN"/>
        </w:rPr>
        <w:fldChar w:fldCharType="begin"/>
      </w:r>
      <w:r>
        <w:rPr>
          <w:rFonts w:hint="default" w:ascii="Times New Roman" w:hAnsi="Times New Roman" w:eastAsia="Helvetica LT Pro" w:cs="Times New Roman"/>
          <w:i w:val="0"/>
          <w:iCs w:val="0"/>
          <w:caps w:val="0"/>
          <w:color w:val="333333"/>
          <w:spacing w:val="0"/>
          <w:sz w:val="24"/>
          <w:szCs w:val="24"/>
          <w:shd w:val="clear" w:fill="FFFFFF"/>
          <w:lang w:val="en-US" w:eastAsia="zh-CN"/>
        </w:rPr>
        <w:instrText xml:space="preserve"> HYPERLINK "https://baike.baidu.com/item/%E4%BA%BA%E6%9C%BA%E4%BA%A4%E4%BA%92/0?fromModule=lemma_inlink" \t "https://baike.baidu.com/item/%E4%BA%BA%E6%9C%BA%E6%8E%A5%E5%8F%A3/_blank" </w:instrText>
      </w:r>
      <w:r>
        <w:rPr>
          <w:rFonts w:hint="default" w:ascii="Times New Roman" w:hAnsi="Times New Roman" w:eastAsia="Helvetica LT Pro" w:cs="Times New Roman"/>
          <w:i w:val="0"/>
          <w:iCs w:val="0"/>
          <w:caps w:val="0"/>
          <w:color w:val="333333"/>
          <w:spacing w:val="0"/>
          <w:sz w:val="24"/>
          <w:szCs w:val="24"/>
          <w:shd w:val="clear" w:fill="FFFFFF"/>
          <w:lang w:val="en-US" w:eastAsia="zh-CN"/>
        </w:rPr>
        <w:fldChar w:fldCharType="separate"/>
      </w:r>
      <w:r>
        <w:rPr>
          <w:rFonts w:hint="default" w:ascii="Times New Roman" w:hAnsi="Times New Roman" w:eastAsia="Helvetica LT Pro" w:cs="Times New Roman"/>
          <w:i w:val="0"/>
          <w:iCs w:val="0"/>
          <w:caps w:val="0"/>
          <w:color w:val="333333"/>
          <w:spacing w:val="0"/>
          <w:sz w:val="24"/>
          <w:szCs w:val="24"/>
          <w:shd w:val="clear" w:fill="FFFFFF"/>
          <w:lang w:val="en-US" w:eastAsia="zh-CN"/>
        </w:rPr>
        <w:t>人机交互</w:t>
      </w:r>
      <w:r>
        <w:rPr>
          <w:rFonts w:hint="default" w:ascii="Times New Roman" w:hAnsi="Times New Roman" w:eastAsia="Helvetica LT Pro" w:cs="Times New Roman"/>
          <w:i w:val="0"/>
          <w:iCs w:val="0"/>
          <w:caps w:val="0"/>
          <w:color w:val="333333"/>
          <w:spacing w:val="0"/>
          <w:sz w:val="24"/>
          <w:szCs w:val="24"/>
          <w:shd w:val="clear" w:fill="FFFFFF"/>
          <w:lang w:val="en-US" w:eastAsia="zh-CN"/>
        </w:rPr>
        <w:fldChar w:fldCharType="end"/>
      </w:r>
      <w:r>
        <w:rPr>
          <w:rFonts w:hint="default" w:ascii="Times New Roman" w:hAnsi="Times New Roman" w:eastAsia="Helvetica LT Pro" w:cs="Times New Roman"/>
          <w:i w:val="0"/>
          <w:iCs w:val="0"/>
          <w:caps w:val="0"/>
          <w:color w:val="333333"/>
          <w:spacing w:val="0"/>
          <w:sz w:val="24"/>
          <w:szCs w:val="24"/>
          <w:shd w:val="clear" w:fill="FFFFFF"/>
          <w:lang w:val="en-US" w:eastAsia="zh-CN"/>
        </w:rPr>
        <w:t>设备之间实现信息传输的控制电路。</w:t>
      </w:r>
    </w:p>
    <w:p w14:paraId="0AE9891B">
      <w:pPr>
        <w:rPr>
          <w:rFonts w:hint="eastAsia"/>
          <w:sz w:val="24"/>
          <w:szCs w:val="24"/>
        </w:rPr>
      </w:pPr>
      <w:r>
        <w:rPr>
          <w:b/>
          <w:bCs/>
          <w:sz w:val="24"/>
          <w:szCs w:val="24"/>
        </w:rPr>
        <w:t>2.</w:t>
      </w:r>
      <w:r>
        <w:rPr>
          <w:rFonts w:hint="eastAsia"/>
          <w:b/>
          <w:bCs/>
          <w:sz w:val="24"/>
          <w:szCs w:val="24"/>
        </w:rPr>
        <w:t>2</w:t>
      </w:r>
      <w:r>
        <w:rPr>
          <w:b/>
          <w:bCs/>
          <w:sz w:val="24"/>
          <w:szCs w:val="24"/>
        </w:rPr>
        <w:t>.</w:t>
      </w:r>
      <w:r>
        <w:rPr>
          <w:rFonts w:hint="eastAsia"/>
          <w:b/>
          <w:bCs/>
          <w:sz w:val="24"/>
          <w:szCs w:val="24"/>
          <w:lang w:val="en-US" w:eastAsia="zh-CN"/>
        </w:rPr>
        <w:t>3</w:t>
      </w:r>
      <w:r>
        <w:rPr>
          <w:sz w:val="24"/>
          <w:szCs w:val="24"/>
        </w:rPr>
        <w:t xml:space="preserve">  </w:t>
      </w:r>
      <w:r>
        <w:rPr>
          <w:rFonts w:ascii="Helvetica LT Pro" w:hAnsi="Helvetica LT Pro" w:eastAsia="Helvetica LT Pro" w:cs="Helvetica LT Pro"/>
          <w:i w:val="0"/>
          <w:iCs w:val="0"/>
          <w:caps w:val="0"/>
          <w:color w:val="333333"/>
          <w:spacing w:val="0"/>
          <w:sz w:val="24"/>
          <w:szCs w:val="24"/>
          <w:shd w:val="clear" w:fill="FFFFFF"/>
        </w:rPr>
        <w:t>开放平台通信统一架构</w:t>
      </w:r>
    </w:p>
    <w:p w14:paraId="5886C161">
      <w:pPr>
        <w:ind w:firstLine="480" w:firstLineChars="200"/>
        <w:rPr>
          <w:rFonts w:hint="eastAsia" w:ascii="Times New Roman" w:hAnsi="Times New Roman" w:eastAsia="Helvetica LT Pro" w:cs="Times New Roman"/>
          <w:i w:val="0"/>
          <w:iCs w:val="0"/>
          <w:caps w:val="0"/>
          <w:color w:val="333333"/>
          <w:spacing w:val="0"/>
          <w:sz w:val="24"/>
          <w:szCs w:val="24"/>
          <w:shd w:val="clear" w:fill="FFFFFF"/>
          <w:lang w:val="en-US" w:eastAsia="zh-CN"/>
        </w:rPr>
      </w:pPr>
      <w:r>
        <w:rPr>
          <w:rFonts w:hint="eastAsia" w:ascii="Times New Roman" w:hAnsi="Times New Roman" w:eastAsia="Helvetica LT Pro" w:cs="Times New Roman"/>
          <w:i w:val="0"/>
          <w:iCs w:val="0"/>
          <w:caps w:val="0"/>
          <w:color w:val="333333"/>
          <w:spacing w:val="0"/>
          <w:sz w:val="24"/>
          <w:szCs w:val="24"/>
          <w:shd w:val="clear" w:fill="FFFFFF"/>
          <w:lang w:val="en-US" w:eastAsia="zh-CN"/>
        </w:rPr>
        <w:t>简称OPC UA (</w:t>
      </w:r>
      <w:r>
        <w:rPr>
          <w:rFonts w:hint="eastAsia" w:ascii="Times New Roman" w:hAnsi="Times New Roman" w:eastAsia="Helvetica LT Pro" w:cs="Times New Roman"/>
          <w:i w:val="0"/>
          <w:iCs w:val="0"/>
          <w:caps w:val="0"/>
          <w:color w:val="333333"/>
          <w:spacing w:val="0"/>
          <w:sz w:val="24"/>
          <w:szCs w:val="24"/>
          <w:shd w:val="clear" w:fill="FFFFFF"/>
          <w:lang w:val="en-US" w:eastAsia="zh-CN"/>
        </w:rPr>
        <w:fldChar w:fldCharType="begin"/>
      </w:r>
      <w:r>
        <w:rPr>
          <w:rFonts w:hint="eastAsia" w:ascii="Times New Roman" w:hAnsi="Times New Roman" w:eastAsia="Helvetica LT Pro" w:cs="Times New Roman"/>
          <w:i w:val="0"/>
          <w:iCs w:val="0"/>
          <w:caps w:val="0"/>
          <w:color w:val="333333"/>
          <w:spacing w:val="0"/>
          <w:sz w:val="24"/>
          <w:szCs w:val="24"/>
          <w:shd w:val="clear" w:fill="FFFFFF"/>
          <w:lang w:val="en-US" w:eastAsia="zh-CN"/>
        </w:rPr>
        <w:instrText xml:space="preserve"> HYPERLINK "https://baike.baidu.com/item/OLE/2139114?fromModule=lemma_inlink" \t "https://baike.baidu.com/item/opc/_blank" </w:instrText>
      </w:r>
      <w:r>
        <w:rPr>
          <w:rFonts w:hint="eastAsia" w:ascii="Times New Roman" w:hAnsi="Times New Roman" w:eastAsia="Helvetica LT Pro" w:cs="Times New Roman"/>
          <w:i w:val="0"/>
          <w:iCs w:val="0"/>
          <w:caps w:val="0"/>
          <w:color w:val="333333"/>
          <w:spacing w:val="0"/>
          <w:sz w:val="24"/>
          <w:szCs w:val="24"/>
          <w:shd w:val="clear" w:fill="FFFFFF"/>
          <w:lang w:val="en-US" w:eastAsia="zh-CN"/>
        </w:rPr>
        <w:fldChar w:fldCharType="separate"/>
      </w:r>
      <w:r>
        <w:rPr>
          <w:rFonts w:hint="default" w:ascii="Times New Roman" w:hAnsi="Times New Roman" w:eastAsia="Helvetica LT Pro" w:cs="Times New Roman"/>
          <w:i w:val="0"/>
          <w:iCs w:val="0"/>
          <w:caps w:val="0"/>
          <w:color w:val="333333"/>
          <w:spacing w:val="0"/>
          <w:sz w:val="24"/>
          <w:szCs w:val="24"/>
          <w:shd w:val="clear" w:fill="FFFFFF"/>
          <w:lang w:val="en-US" w:eastAsia="zh-CN"/>
        </w:rPr>
        <w:t>OLE</w:t>
      </w:r>
      <w:r>
        <w:rPr>
          <w:rFonts w:hint="default" w:ascii="Times New Roman" w:hAnsi="Times New Roman" w:eastAsia="Helvetica LT Pro" w:cs="Times New Roman"/>
          <w:i w:val="0"/>
          <w:iCs w:val="0"/>
          <w:caps w:val="0"/>
          <w:color w:val="333333"/>
          <w:spacing w:val="0"/>
          <w:sz w:val="24"/>
          <w:szCs w:val="24"/>
          <w:shd w:val="clear" w:fill="FFFFFF"/>
          <w:lang w:val="en-US" w:eastAsia="zh-CN"/>
        </w:rPr>
        <w:fldChar w:fldCharType="end"/>
      </w:r>
      <w:r>
        <w:rPr>
          <w:rFonts w:hint="default" w:ascii="Times New Roman" w:hAnsi="Times New Roman" w:eastAsia="Helvetica LT Pro" w:cs="Times New Roman"/>
          <w:i w:val="0"/>
          <w:iCs w:val="0"/>
          <w:caps w:val="0"/>
          <w:color w:val="333333"/>
          <w:spacing w:val="0"/>
          <w:sz w:val="24"/>
          <w:szCs w:val="24"/>
          <w:shd w:val="clear" w:fill="FFFFFF"/>
          <w:lang w:val="en-US" w:eastAsia="zh-CN"/>
        </w:rPr>
        <w:t>for Process Control</w:t>
      </w:r>
      <w:r>
        <w:rPr>
          <w:rFonts w:hint="eastAsia" w:ascii="Times New Roman" w:hAnsi="Times New Roman" w:eastAsia="Helvetica LT Pro" w:cs="Times New Roman"/>
          <w:i w:val="0"/>
          <w:iCs w:val="0"/>
          <w:caps w:val="0"/>
          <w:color w:val="333333"/>
          <w:spacing w:val="0"/>
          <w:sz w:val="24"/>
          <w:szCs w:val="24"/>
          <w:shd w:val="clear" w:fill="FFFFFF"/>
          <w:lang w:val="en-US" w:eastAsia="zh-CN"/>
        </w:rPr>
        <w:t>)。依托OPC UA国际标准搭建的工程施工领域数字化系统，用于搭建的智慧工地类系统，实现工地各类品牌的异构设备的统一数据接入与互联互通。</w:t>
      </w:r>
    </w:p>
    <w:p w14:paraId="2B633F33">
      <w:pPr>
        <w:rPr>
          <w:rFonts w:hint="eastAsia"/>
          <w:sz w:val="24"/>
          <w:szCs w:val="24"/>
        </w:rPr>
      </w:pPr>
      <w:r>
        <w:rPr>
          <w:b/>
          <w:bCs/>
          <w:sz w:val="24"/>
          <w:szCs w:val="24"/>
        </w:rPr>
        <w:t>2.</w:t>
      </w:r>
      <w:r>
        <w:rPr>
          <w:rFonts w:hint="eastAsia"/>
          <w:b/>
          <w:bCs/>
          <w:sz w:val="24"/>
          <w:szCs w:val="24"/>
        </w:rPr>
        <w:t>2</w:t>
      </w:r>
      <w:r>
        <w:rPr>
          <w:b/>
          <w:bCs/>
          <w:sz w:val="24"/>
          <w:szCs w:val="24"/>
        </w:rPr>
        <w:t>.</w:t>
      </w:r>
      <w:r>
        <w:rPr>
          <w:rFonts w:hint="eastAsia"/>
          <w:b/>
          <w:bCs/>
          <w:sz w:val="24"/>
          <w:szCs w:val="24"/>
          <w:lang w:val="en-US" w:eastAsia="zh-CN"/>
        </w:rPr>
        <w:t>4</w:t>
      </w:r>
      <w:r>
        <w:rPr>
          <w:sz w:val="24"/>
          <w:szCs w:val="24"/>
        </w:rPr>
        <w:t xml:space="preserve">  </w:t>
      </w:r>
      <w:r>
        <w:rPr>
          <w:rFonts w:ascii="Arial" w:hAnsi="Arial" w:eastAsia="Arial" w:cs="Arial"/>
          <w:i w:val="0"/>
          <w:iCs w:val="0"/>
          <w:caps w:val="0"/>
          <w:color w:val="333333"/>
          <w:spacing w:val="0"/>
          <w:sz w:val="24"/>
          <w:szCs w:val="24"/>
          <w:shd w:val="clear" w:fill="FFFFFF"/>
        </w:rPr>
        <w:t>消息队列遥测传输</w:t>
      </w:r>
    </w:p>
    <w:p w14:paraId="187CD424">
      <w:pPr>
        <w:ind w:firstLine="480" w:firstLineChars="200"/>
        <w:rPr>
          <w:rFonts w:hint="eastAsia" w:ascii="Times New Roman" w:hAnsi="Times New Roman" w:eastAsia="Helvetica LT Pro" w:cs="Times New Roman"/>
          <w:i w:val="0"/>
          <w:iCs w:val="0"/>
          <w:caps w:val="0"/>
          <w:color w:val="333333"/>
          <w:spacing w:val="0"/>
          <w:sz w:val="24"/>
          <w:szCs w:val="24"/>
          <w:shd w:val="clear" w:fill="FFFFFF"/>
          <w:lang w:val="en-US" w:eastAsia="zh-CN"/>
        </w:rPr>
      </w:pPr>
      <w:r>
        <w:rPr>
          <w:rFonts w:hint="eastAsia" w:ascii="Times New Roman" w:hAnsi="Times New Roman" w:eastAsia="Helvetica LT Pro" w:cs="Times New Roman"/>
          <w:i w:val="0"/>
          <w:iCs w:val="0"/>
          <w:caps w:val="0"/>
          <w:color w:val="333333"/>
          <w:spacing w:val="0"/>
          <w:sz w:val="24"/>
          <w:szCs w:val="24"/>
          <w:shd w:val="clear" w:fill="FFFFFF"/>
          <w:lang w:val="en-US" w:eastAsia="zh-CN"/>
        </w:rPr>
        <w:t>简称MQTT (Message Queuing Telemetry Transport</w:t>
      </w:r>
      <w:r>
        <w:rPr>
          <w:rFonts w:hint="eastAsia" w:eastAsia="Helvetica LT Pro" w:cs="Times New Roman"/>
          <w:i w:val="0"/>
          <w:iCs w:val="0"/>
          <w:caps w:val="0"/>
          <w:color w:val="333333"/>
          <w:spacing w:val="0"/>
          <w:sz w:val="24"/>
          <w:szCs w:val="24"/>
          <w:shd w:val="clear" w:fill="FFFFFF"/>
          <w:lang w:val="en-US" w:eastAsia="zh-CN"/>
        </w:rPr>
        <w:t>）</w:t>
      </w:r>
      <w:r>
        <w:rPr>
          <w:rFonts w:hint="eastAsia" w:ascii="Times New Roman" w:hAnsi="Times New Roman" w:eastAsia="Helvetica LT Pro" w:cs="Times New Roman"/>
          <w:i w:val="0"/>
          <w:iCs w:val="0"/>
          <w:caps w:val="0"/>
          <w:color w:val="333333"/>
          <w:spacing w:val="0"/>
          <w:sz w:val="24"/>
          <w:szCs w:val="24"/>
          <w:shd w:val="clear" w:fill="FFFFFF"/>
          <w:lang w:val="en-US" w:eastAsia="zh-CN"/>
        </w:rPr>
        <w:t>。基于发布/订阅范式的轻量级消息传输协议，用于</w:t>
      </w:r>
      <w:r>
        <w:rPr>
          <w:rFonts w:hint="eastAsia" w:eastAsia="Helvetica LT Pro" w:cs="Times New Roman"/>
          <w:i w:val="0"/>
          <w:iCs w:val="0"/>
          <w:caps w:val="0"/>
          <w:color w:val="333333"/>
          <w:spacing w:val="0"/>
          <w:sz w:val="24"/>
          <w:szCs w:val="24"/>
          <w:shd w:val="clear" w:fill="FFFFFF"/>
          <w:lang w:val="en-US" w:eastAsia="zh-CN"/>
        </w:rPr>
        <w:t>新</w:t>
      </w:r>
      <w:r>
        <w:rPr>
          <w:rFonts w:hint="eastAsia" w:ascii="Times New Roman" w:hAnsi="Times New Roman" w:eastAsia="Helvetica LT Pro" w:cs="Times New Roman"/>
          <w:i w:val="0"/>
          <w:iCs w:val="0"/>
          <w:caps w:val="0"/>
          <w:color w:val="333333"/>
          <w:spacing w:val="0"/>
          <w:sz w:val="24"/>
          <w:szCs w:val="24"/>
          <w:shd w:val="clear" w:fill="FFFFFF"/>
          <w:lang w:val="en-US" w:eastAsia="zh-CN"/>
        </w:rPr>
        <w:t>搭建的轻量化物联网数据底座，实现施工现场各类设备的互联与数据统一流转。</w:t>
      </w:r>
    </w:p>
    <w:p w14:paraId="0D7C572F">
      <w:pPr>
        <w:pStyle w:val="3"/>
        <w:rPr>
          <w:bCs/>
        </w:rPr>
      </w:pPr>
      <w:bookmarkStart w:id="47" w:name="_Toc16499"/>
      <w:bookmarkStart w:id="48" w:name="_Toc5606"/>
      <w:r>
        <w:rPr>
          <w:rFonts w:hint="eastAsia"/>
        </w:rPr>
        <w:t>符号</w:t>
      </w:r>
      <w:bookmarkEnd w:id="47"/>
      <w:bookmarkEnd w:id="48"/>
    </w:p>
    <w:p w14:paraId="560A78F5">
      <w:pPr>
        <w:rPr>
          <w:rFonts w:hint="eastAsia" w:eastAsia="宋体"/>
          <w:lang w:eastAsia="zh-CN"/>
        </w:rPr>
      </w:pPr>
      <w:r>
        <w:rPr>
          <w:rFonts w:hint="eastAsia"/>
          <w:i/>
          <w:iCs/>
        </w:rPr>
        <w:t>C</w:t>
      </w:r>
      <w:r>
        <w:rPr>
          <w:rFonts w:hint="eastAsia"/>
          <w:i w:val="0"/>
          <w:iCs w:val="0"/>
          <w:vertAlign w:val="subscript"/>
        </w:rPr>
        <w:t>k</w:t>
      </w:r>
      <w:r>
        <w:rPr>
          <w:rFonts w:hint="eastAsia" w:ascii="宋体" w:hAnsi="宋体" w:eastAsia="宋体" w:cs="宋体"/>
        </w:rPr>
        <w:t>——</w:t>
      </w:r>
      <w:r>
        <w:rPr>
          <w:rFonts w:hint="eastAsia"/>
        </w:rPr>
        <w:t>平台上施工荷载标准值</w:t>
      </w:r>
      <w:r>
        <w:rPr>
          <w:rFonts w:hint="eastAsia"/>
          <w:lang w:eastAsia="zh-CN"/>
        </w:rPr>
        <w:t>；</w:t>
      </w:r>
    </w:p>
    <w:p w14:paraId="639349DB">
      <w:pPr>
        <w:rPr>
          <w:rFonts w:hint="eastAsia" w:eastAsia="宋体"/>
          <w:lang w:eastAsia="zh-CN"/>
        </w:rPr>
      </w:pPr>
      <w:r>
        <w:rPr>
          <w:rFonts w:hint="eastAsia"/>
          <w:i/>
          <w:iCs/>
        </w:rPr>
        <w:t>E</w:t>
      </w:r>
      <w:r>
        <w:rPr>
          <w:rFonts w:hint="eastAsia"/>
          <w:i w:val="0"/>
          <w:iCs w:val="0"/>
          <w:vertAlign w:val="subscript"/>
        </w:rPr>
        <w:t>k</w:t>
      </w:r>
      <w:r>
        <w:rPr>
          <w:rFonts w:hint="eastAsia" w:ascii="宋体" w:hAnsi="宋体" w:eastAsia="宋体" w:cs="宋体"/>
        </w:rPr>
        <w:t>——</w:t>
      </w:r>
      <w:r>
        <w:rPr>
          <w:rFonts w:hint="eastAsia"/>
        </w:rPr>
        <w:t>地震荷载标准值</w:t>
      </w:r>
      <w:r>
        <w:rPr>
          <w:rFonts w:hint="eastAsia"/>
          <w:lang w:eastAsia="zh-CN"/>
        </w:rPr>
        <w:t>；</w:t>
      </w:r>
    </w:p>
    <w:p w14:paraId="6F9AB2B4">
      <w:pPr>
        <w:rPr>
          <w:rFonts w:hint="eastAsia" w:eastAsia="宋体"/>
          <w:lang w:eastAsia="zh-CN"/>
        </w:rPr>
      </w:pPr>
      <w:r>
        <w:rPr>
          <w:rFonts w:hint="eastAsia"/>
          <w:i/>
          <w:iCs/>
        </w:rPr>
        <w:t>F</w:t>
      </w:r>
      <w:r>
        <w:rPr>
          <w:rFonts w:hint="eastAsia"/>
          <w:vertAlign w:val="subscript"/>
        </w:rPr>
        <w:t>k</w:t>
      </w:r>
      <w:r>
        <w:rPr>
          <w:rFonts w:hint="eastAsia" w:ascii="宋体" w:hAnsi="宋体" w:eastAsia="宋体" w:cs="宋体"/>
        </w:rPr>
        <w:t>——</w:t>
      </w:r>
      <w:r>
        <w:rPr>
          <w:rFonts w:hint="eastAsia"/>
        </w:rPr>
        <w:t>挂架上施工荷载标准值</w:t>
      </w:r>
      <w:r>
        <w:rPr>
          <w:rFonts w:hint="eastAsia"/>
          <w:lang w:eastAsia="zh-CN"/>
        </w:rPr>
        <w:t>；</w:t>
      </w:r>
    </w:p>
    <w:p w14:paraId="5DA529E5">
      <w:pPr>
        <w:rPr>
          <w:rFonts w:hint="eastAsia" w:eastAsia="宋体"/>
          <w:lang w:eastAsia="zh-CN"/>
        </w:rPr>
      </w:pPr>
      <w:r>
        <w:rPr>
          <w:rFonts w:hint="eastAsia"/>
          <w:i/>
          <w:iCs/>
        </w:rPr>
        <w:t>G</w:t>
      </w:r>
      <w:r>
        <w:rPr>
          <w:rFonts w:hint="eastAsia"/>
          <w:vertAlign w:val="subscript"/>
        </w:rPr>
        <w:t>k</w:t>
      </w:r>
      <w:r>
        <w:rPr>
          <w:rFonts w:hint="eastAsia" w:ascii="宋体" w:hAnsi="宋体" w:eastAsia="宋体" w:cs="宋体"/>
        </w:rPr>
        <w:t>——</w:t>
      </w:r>
      <w:r>
        <w:rPr>
          <w:rFonts w:hint="eastAsia"/>
        </w:rPr>
        <w:t>支承系统、</w:t>
      </w:r>
      <w:r>
        <w:rPr>
          <w:rFonts w:hint="eastAsia"/>
          <w:lang w:val="en-US" w:eastAsia="zh-CN"/>
        </w:rPr>
        <w:t>钢平台</w:t>
      </w:r>
      <w:r>
        <w:rPr>
          <w:rFonts w:hint="eastAsia"/>
        </w:rPr>
        <w:t>系统、挂架系统自重标准值</w:t>
      </w:r>
      <w:r>
        <w:rPr>
          <w:rFonts w:hint="eastAsia"/>
          <w:lang w:eastAsia="zh-CN"/>
        </w:rPr>
        <w:t>；</w:t>
      </w:r>
    </w:p>
    <w:p w14:paraId="5BD3D3C1">
      <w:pPr>
        <w:rPr>
          <w:rFonts w:hint="eastAsia" w:eastAsia="宋体"/>
          <w:lang w:eastAsia="zh-CN"/>
        </w:rPr>
      </w:pPr>
      <w:r>
        <w:rPr>
          <w:rFonts w:hint="eastAsia"/>
          <w:i/>
          <w:iCs/>
        </w:rPr>
        <w:t>l</w:t>
      </w:r>
      <w:r>
        <w:rPr>
          <w:rFonts w:hint="eastAsia"/>
          <w:vertAlign w:val="subscript"/>
          <w:lang w:val="en-US" w:eastAsia="zh-CN"/>
        </w:rPr>
        <w:t xml:space="preserve">1 </w:t>
      </w:r>
      <w:r>
        <w:rPr>
          <w:rFonts w:hint="eastAsia" w:ascii="宋体" w:hAnsi="宋体" w:eastAsia="宋体" w:cs="宋体"/>
        </w:rPr>
        <w:t>——</w:t>
      </w:r>
      <w:r>
        <w:rPr>
          <w:rFonts w:hint="eastAsia"/>
        </w:rPr>
        <w:t>支承立柱形心间的距离</w:t>
      </w:r>
      <w:r>
        <w:rPr>
          <w:rFonts w:hint="eastAsia"/>
          <w:lang w:eastAsia="zh-CN"/>
        </w:rPr>
        <w:t>；</w:t>
      </w:r>
    </w:p>
    <w:p w14:paraId="0AB7490A">
      <w:pPr>
        <w:rPr>
          <w:rFonts w:hint="eastAsia" w:eastAsia="宋体"/>
          <w:lang w:eastAsia="zh-CN"/>
        </w:rPr>
      </w:pPr>
      <w:r>
        <w:rPr>
          <w:rFonts w:hint="eastAsia"/>
          <w:i/>
          <w:iCs/>
        </w:rPr>
        <w:t>l</w:t>
      </w:r>
      <w:r>
        <w:rPr>
          <w:rFonts w:hint="eastAsia"/>
          <w:vertAlign w:val="subscript"/>
          <w:lang w:val="en-US" w:eastAsia="zh-CN"/>
        </w:rPr>
        <w:t xml:space="preserve">2 </w:t>
      </w:r>
      <w:r>
        <w:rPr>
          <w:rFonts w:hint="eastAsia" w:ascii="宋体" w:hAnsi="宋体" w:eastAsia="宋体" w:cs="宋体"/>
        </w:rPr>
        <w:t>——</w:t>
      </w:r>
      <w:r>
        <w:rPr>
          <w:rFonts w:hint="eastAsia"/>
        </w:rPr>
        <w:t>支承立柱形心至钢平台边缘的水平距离</w:t>
      </w:r>
      <w:r>
        <w:rPr>
          <w:rFonts w:hint="eastAsia"/>
          <w:lang w:eastAsia="zh-CN"/>
        </w:rPr>
        <w:t>；</w:t>
      </w:r>
    </w:p>
    <w:p w14:paraId="77D10AA9">
      <w:pPr>
        <w:rPr>
          <w:rFonts w:hint="eastAsia" w:eastAsia="宋体"/>
          <w:lang w:eastAsia="zh-CN"/>
        </w:rPr>
      </w:pPr>
      <w:r>
        <w:rPr>
          <w:rFonts w:hint="eastAsia"/>
          <w:i/>
          <w:iCs/>
        </w:rPr>
        <w:t>l</w:t>
      </w:r>
      <w:r>
        <w:rPr>
          <w:rFonts w:hint="eastAsia"/>
          <w:vertAlign w:val="subscript"/>
          <w:lang w:val="en-US" w:eastAsia="zh-CN"/>
        </w:rPr>
        <w:t xml:space="preserve">3 </w:t>
      </w:r>
      <w:r>
        <w:rPr>
          <w:rFonts w:hint="eastAsia" w:ascii="宋体" w:hAnsi="宋体" w:eastAsia="宋体" w:cs="宋体"/>
        </w:rPr>
        <w:t>——</w:t>
      </w:r>
      <w:r>
        <w:rPr>
          <w:rFonts w:hint="eastAsia"/>
        </w:rPr>
        <w:t>施工阶段为支承立柱高度</w:t>
      </w:r>
      <w:r>
        <w:rPr>
          <w:rFonts w:hint="eastAsia"/>
          <w:lang w:eastAsia="zh-CN"/>
        </w:rPr>
        <w:t>；</w:t>
      </w:r>
      <w:r>
        <w:rPr>
          <w:rFonts w:hint="eastAsia"/>
        </w:rPr>
        <w:t>顶升阶段为下支承架顶面至钢平台底面高度</w:t>
      </w:r>
      <w:r>
        <w:rPr>
          <w:rFonts w:hint="eastAsia"/>
          <w:lang w:eastAsia="zh-CN"/>
        </w:rPr>
        <w:t>；</w:t>
      </w:r>
    </w:p>
    <w:p w14:paraId="3C35A151">
      <w:pPr>
        <w:rPr>
          <w:rFonts w:hint="eastAsia" w:eastAsia="宋体"/>
          <w:lang w:eastAsia="zh-CN"/>
        </w:rPr>
      </w:pPr>
      <w:r>
        <w:rPr>
          <w:rFonts w:hint="eastAsia"/>
          <w:i/>
          <w:iCs/>
          <w:lang w:val="en-US" w:eastAsia="zh-CN"/>
        </w:rPr>
        <w:t>l</w:t>
      </w:r>
      <w:r>
        <w:rPr>
          <w:rFonts w:hint="eastAsia"/>
          <w:vertAlign w:val="subscript"/>
          <w:lang w:val="en-US" w:eastAsia="zh-CN"/>
        </w:rPr>
        <w:t xml:space="preserve">4 </w:t>
      </w:r>
      <w:r>
        <w:rPr>
          <w:rFonts w:hint="eastAsia" w:ascii="宋体" w:hAnsi="宋体" w:eastAsia="宋体" w:cs="宋体"/>
        </w:rPr>
        <w:t>——</w:t>
      </w:r>
      <w:r>
        <w:rPr>
          <w:rFonts w:hint="eastAsia"/>
        </w:rPr>
        <w:t>顶升油缸高度</w:t>
      </w:r>
      <w:r>
        <w:rPr>
          <w:rFonts w:hint="eastAsia"/>
          <w:lang w:eastAsia="zh-CN"/>
        </w:rPr>
        <w:t>；</w:t>
      </w:r>
    </w:p>
    <w:p w14:paraId="0D30F1F8">
      <w:pPr>
        <w:rPr>
          <w:rFonts w:hint="eastAsia" w:eastAsia="宋体"/>
          <w:lang w:eastAsia="zh-CN"/>
        </w:rPr>
      </w:pPr>
      <w:r>
        <w:rPr>
          <w:rFonts w:hint="eastAsia"/>
          <w:i/>
          <w:iCs/>
        </w:rPr>
        <w:t>L</w:t>
      </w:r>
      <w:r>
        <w:rPr>
          <w:rFonts w:hint="eastAsia"/>
          <w:vertAlign w:val="subscript"/>
        </w:rPr>
        <w:t>k</w:t>
      </w:r>
      <w:r>
        <w:rPr>
          <w:rFonts w:hint="eastAsia" w:ascii="宋体" w:hAnsi="宋体" w:eastAsia="宋体" w:cs="宋体"/>
        </w:rPr>
        <w:t>——</w:t>
      </w:r>
      <w:r>
        <w:rPr>
          <w:rFonts w:hint="eastAsia"/>
        </w:rPr>
        <w:t>平台上材料堆载标准值</w:t>
      </w:r>
      <w:r>
        <w:rPr>
          <w:rFonts w:hint="eastAsia"/>
          <w:lang w:eastAsia="zh-CN"/>
        </w:rPr>
        <w:t>；</w:t>
      </w:r>
    </w:p>
    <w:p w14:paraId="0AD5EDEB">
      <w:pPr>
        <w:rPr>
          <w:rFonts w:hint="eastAsia" w:eastAsia="宋体"/>
          <w:lang w:eastAsia="zh-CN"/>
        </w:rPr>
      </w:pPr>
      <w:r>
        <w:rPr>
          <w:rFonts w:hint="eastAsia"/>
          <w:i/>
          <w:iCs/>
        </w:rPr>
        <w:t>S</w:t>
      </w:r>
      <w:r>
        <w:rPr>
          <w:rFonts w:hint="eastAsia"/>
          <w:vertAlign w:val="subscript"/>
        </w:rPr>
        <w:t>ck</w:t>
      </w:r>
      <w:r>
        <w:rPr>
          <w:rFonts w:hint="eastAsia" w:ascii="宋体" w:hAnsi="宋体" w:eastAsia="宋体" w:cs="宋体"/>
        </w:rPr>
        <w:t>——</w:t>
      </w:r>
      <w:r>
        <w:rPr>
          <w:rFonts w:hint="eastAsia"/>
        </w:rPr>
        <w:t>永久荷载效应的标准值</w:t>
      </w:r>
      <w:r>
        <w:rPr>
          <w:rFonts w:hint="eastAsia"/>
          <w:lang w:eastAsia="zh-CN"/>
        </w:rPr>
        <w:t>；</w:t>
      </w:r>
    </w:p>
    <w:p w14:paraId="12659F55">
      <w:pPr>
        <w:rPr>
          <w:rFonts w:hint="eastAsia" w:eastAsia="宋体"/>
          <w:lang w:eastAsia="zh-CN"/>
        </w:rPr>
      </w:pPr>
      <w:r>
        <w:rPr>
          <w:rFonts w:hint="eastAsia"/>
          <w:i/>
          <w:iCs/>
        </w:rPr>
        <w:t>S</w:t>
      </w:r>
      <w:r>
        <w:rPr>
          <w:rFonts w:hint="eastAsia"/>
          <w:vertAlign w:val="subscript"/>
          <w:lang w:val="en-US" w:eastAsia="zh-CN"/>
        </w:rPr>
        <w:t>Q</w:t>
      </w:r>
      <w:r>
        <w:rPr>
          <w:rFonts w:hint="eastAsia"/>
          <w:vertAlign w:val="subscript"/>
        </w:rPr>
        <w:t>k</w:t>
      </w:r>
      <w:r>
        <w:rPr>
          <w:rFonts w:hint="eastAsia" w:ascii="宋体" w:hAnsi="宋体" w:eastAsia="宋体" w:cs="宋体"/>
        </w:rPr>
        <w:t>——</w:t>
      </w:r>
      <w:r>
        <w:rPr>
          <w:rFonts w:hint="eastAsia"/>
        </w:rPr>
        <w:t>可变荷载效应的标准值</w:t>
      </w:r>
      <w:r>
        <w:rPr>
          <w:rFonts w:hint="eastAsia"/>
          <w:lang w:eastAsia="zh-CN"/>
        </w:rPr>
        <w:t>；</w:t>
      </w:r>
    </w:p>
    <w:p w14:paraId="05EF8709">
      <w:pPr>
        <w:rPr>
          <w:rFonts w:hint="eastAsia" w:eastAsia="宋体"/>
          <w:lang w:eastAsia="zh-CN"/>
        </w:rPr>
      </w:pPr>
      <w:r>
        <w:rPr>
          <w:rFonts w:hint="eastAsia"/>
          <w:i/>
          <w:iCs/>
        </w:rPr>
        <w:t>U</w:t>
      </w:r>
      <w:r>
        <w:rPr>
          <w:rFonts w:hint="eastAsia"/>
          <w:vertAlign w:val="subscript"/>
        </w:rPr>
        <w:t>k</w:t>
      </w:r>
      <w:r>
        <w:rPr>
          <w:rFonts w:hint="eastAsia" w:ascii="宋体" w:hAnsi="宋体" w:eastAsia="宋体" w:cs="宋体"/>
        </w:rPr>
        <w:t>——</w:t>
      </w:r>
      <w:r>
        <w:rPr>
          <w:rFonts w:hint="eastAsia"/>
        </w:rPr>
        <w:t>不同步顶升产生的附加荷载</w:t>
      </w:r>
      <w:r>
        <w:rPr>
          <w:rFonts w:hint="eastAsia"/>
          <w:lang w:eastAsia="zh-CN"/>
        </w:rPr>
        <w:t>；</w:t>
      </w:r>
    </w:p>
    <w:p w14:paraId="34CC7A7C">
      <w:pPr>
        <w:rPr>
          <w:rFonts w:hint="eastAsia" w:eastAsia="宋体"/>
          <w:lang w:eastAsia="zh-CN"/>
        </w:rPr>
      </w:pPr>
      <w:r>
        <w:rPr>
          <w:rFonts w:hint="eastAsia" w:ascii="宋体" w:hAnsi="宋体" w:eastAsia="宋体" w:cs="宋体"/>
          <w:i/>
          <w:iCs/>
        </w:rPr>
        <w:t>ω</w:t>
      </w:r>
      <w:r>
        <w:rPr>
          <w:rFonts w:hint="eastAsia" w:ascii="宋体" w:hAnsi="宋体" w:cs="宋体"/>
          <w:vertAlign w:val="subscript"/>
          <w:lang w:val="en-US" w:eastAsia="zh-CN"/>
        </w:rPr>
        <w:t>k</w:t>
      </w:r>
      <w:r>
        <w:rPr>
          <w:rFonts w:hint="eastAsia" w:ascii="宋体" w:hAnsi="宋体" w:eastAsia="宋体" w:cs="宋体"/>
        </w:rPr>
        <w:t>——</w:t>
      </w:r>
      <w:r>
        <w:rPr>
          <w:rFonts w:hint="eastAsia"/>
        </w:rPr>
        <w:t>风荷载标准值</w:t>
      </w:r>
      <w:r>
        <w:rPr>
          <w:rFonts w:hint="eastAsia"/>
          <w:lang w:eastAsia="zh-CN"/>
        </w:rPr>
        <w:t>；</w:t>
      </w:r>
    </w:p>
    <w:p w14:paraId="18199C53">
      <w:pPr>
        <w:rPr>
          <w:rFonts w:hint="eastAsia" w:eastAsia="宋体"/>
          <w:lang w:eastAsia="zh-CN"/>
        </w:rPr>
      </w:pPr>
      <w:r>
        <w:rPr>
          <w:rFonts w:hint="eastAsia" w:ascii="宋体" w:hAnsi="宋体" w:eastAsia="宋体" w:cs="宋体"/>
          <w:i/>
          <w:iCs/>
        </w:rPr>
        <w:t>ω</w:t>
      </w:r>
      <w:r>
        <w:rPr>
          <w:rFonts w:hint="eastAsia" w:ascii="宋体" w:hAnsi="宋体" w:cs="宋体"/>
          <w:vertAlign w:val="subscript"/>
          <w:lang w:val="en-US" w:eastAsia="zh-CN"/>
        </w:rPr>
        <w:t>0</w:t>
      </w:r>
      <w:r>
        <w:rPr>
          <w:rFonts w:hint="eastAsia" w:ascii="宋体" w:hAnsi="宋体" w:eastAsia="宋体" w:cs="宋体"/>
        </w:rPr>
        <w:t>——</w:t>
      </w:r>
      <w:r>
        <w:rPr>
          <w:rFonts w:hint="eastAsia"/>
        </w:rPr>
        <w:t>基本风压</w:t>
      </w:r>
      <w:r>
        <w:rPr>
          <w:rFonts w:hint="eastAsia"/>
          <w:lang w:eastAsia="zh-CN"/>
        </w:rPr>
        <w:t>；</w:t>
      </w:r>
    </w:p>
    <w:p w14:paraId="632EC8F2">
      <w:pPr>
        <w:rPr>
          <w:rFonts w:hint="eastAsia" w:eastAsia="宋体"/>
          <w:lang w:eastAsia="zh-CN"/>
        </w:rPr>
      </w:pPr>
      <w:r>
        <w:rPr>
          <w:rFonts w:hint="default" w:ascii="Times New Roman" w:hAnsi="Times New Roman" w:cs="Times New Roman"/>
          <w:i/>
          <w:iCs/>
          <w:vertAlign w:val="baseline"/>
          <w:lang w:val="en-US" w:eastAsia="zh-CN"/>
        </w:rPr>
        <w:t>ν</w:t>
      </w:r>
      <w:r>
        <w:rPr>
          <w:rFonts w:hint="eastAsia"/>
          <w:vertAlign w:val="subscript"/>
          <w:lang w:val="en-US" w:eastAsia="zh-CN"/>
        </w:rPr>
        <w:t xml:space="preserve">0 </w:t>
      </w:r>
      <w:r>
        <w:rPr>
          <w:rFonts w:hint="eastAsia" w:ascii="宋体" w:hAnsi="宋体" w:eastAsia="宋体" w:cs="宋体"/>
        </w:rPr>
        <w:t>——</w:t>
      </w:r>
      <w:r>
        <w:rPr>
          <w:rFonts w:hint="eastAsia"/>
        </w:rPr>
        <w:t>风速</w:t>
      </w:r>
      <w:r>
        <w:rPr>
          <w:rFonts w:hint="eastAsia"/>
          <w:lang w:eastAsia="zh-CN"/>
        </w:rPr>
        <w:t>；</w:t>
      </w:r>
    </w:p>
    <w:p w14:paraId="69AA8117">
      <w:pPr>
        <w:rPr>
          <w:rFonts w:hint="eastAsia" w:eastAsia="宋体"/>
          <w:lang w:eastAsia="zh-CN"/>
        </w:rPr>
      </w:pPr>
      <w:r>
        <w:rPr>
          <w:rFonts w:hint="eastAsia"/>
          <w:i/>
          <w:iCs/>
        </w:rPr>
        <w:t>B</w:t>
      </w:r>
      <w:r>
        <w:rPr>
          <w:rFonts w:hint="eastAsia"/>
          <w:vertAlign w:val="subscript"/>
        </w:rPr>
        <w:t>gz</w:t>
      </w:r>
      <w:r>
        <w:rPr>
          <w:rFonts w:hint="eastAsia"/>
          <w:vertAlign w:val="subscript"/>
          <w:lang w:val="en-US" w:eastAsia="zh-CN"/>
        </w:rPr>
        <w:t xml:space="preserve"> </w:t>
      </w:r>
      <w:r>
        <w:rPr>
          <w:rFonts w:hint="eastAsia" w:ascii="宋体" w:hAnsi="宋体" w:eastAsia="宋体" w:cs="宋体"/>
        </w:rPr>
        <w:t>——</w:t>
      </w:r>
      <w:r>
        <w:rPr>
          <w:rFonts w:hint="eastAsia"/>
        </w:rPr>
        <w:t>高度z处的阵风系数</w:t>
      </w:r>
      <w:r>
        <w:rPr>
          <w:rFonts w:hint="eastAsia"/>
          <w:lang w:eastAsia="zh-CN"/>
        </w:rPr>
        <w:t>；</w:t>
      </w:r>
    </w:p>
    <w:p w14:paraId="06AE69CE">
      <w:pPr>
        <w:rPr>
          <w:rFonts w:hint="eastAsia" w:eastAsia="宋体"/>
          <w:lang w:eastAsia="zh-CN"/>
        </w:rPr>
      </w:pPr>
      <w:r>
        <w:rPr>
          <w:rFonts w:hint="eastAsia" w:ascii="宋体" w:hAnsi="宋体" w:eastAsia="宋体" w:cs="宋体"/>
          <w:i/>
          <w:iCs/>
        </w:rPr>
        <w:t>μ</w:t>
      </w:r>
      <w:r>
        <w:rPr>
          <w:rFonts w:hint="eastAsia" w:ascii="宋体" w:hAnsi="宋体" w:cs="宋体"/>
          <w:vertAlign w:val="subscript"/>
          <w:lang w:val="en-US" w:eastAsia="zh-CN"/>
        </w:rPr>
        <w:t>sl</w:t>
      </w:r>
      <w:r>
        <w:rPr>
          <w:rFonts w:hint="eastAsia" w:ascii="宋体" w:hAnsi="宋体" w:eastAsia="宋体" w:cs="宋体"/>
        </w:rPr>
        <w:t>——</w:t>
      </w:r>
      <w:r>
        <w:rPr>
          <w:rFonts w:hint="eastAsia"/>
        </w:rPr>
        <w:t>风荷载局部体型系数</w:t>
      </w:r>
      <w:r>
        <w:rPr>
          <w:rFonts w:hint="eastAsia"/>
          <w:lang w:eastAsia="zh-CN"/>
        </w:rPr>
        <w:t>；</w:t>
      </w:r>
    </w:p>
    <w:p w14:paraId="482D63AF">
      <w:pPr>
        <w:bidi w:val="0"/>
        <w:rPr>
          <w:color w:val="000000" w:themeColor="text1"/>
          <w14:textFill>
            <w14:solidFill>
              <w14:schemeClr w14:val="tx1"/>
            </w14:solidFill>
          </w14:textFill>
        </w:rPr>
      </w:pPr>
      <w:r>
        <w:rPr>
          <w:rFonts w:hint="eastAsia"/>
        </w:rPr>
        <w:t>[</w:t>
      </w:r>
      <w:r>
        <w:rPr>
          <w:rFonts w:hint="default" w:ascii="Times New Roman" w:hAnsi="Times New Roman" w:cs="Times New Roman"/>
          <w:i/>
          <w:iCs/>
          <w:vertAlign w:val="baseline"/>
          <w:lang w:val="en-US" w:eastAsia="zh-CN"/>
        </w:rPr>
        <w:t>ν</w:t>
      </w:r>
      <w:r>
        <w:rPr>
          <w:rFonts w:hint="eastAsia"/>
        </w:rPr>
        <w:t>]</w:t>
      </w:r>
      <w:r>
        <w:rPr>
          <w:rFonts w:hint="eastAsia"/>
          <w:lang w:val="en-US" w:eastAsia="zh-CN"/>
        </w:rPr>
        <w:t xml:space="preserve"> </w:t>
      </w:r>
      <w:r>
        <w:rPr>
          <w:rFonts w:hint="eastAsia" w:ascii="宋体" w:hAnsi="宋体" w:eastAsia="宋体" w:cs="宋体"/>
        </w:rPr>
        <w:t>——</w:t>
      </w:r>
      <w:r>
        <w:rPr>
          <w:rFonts w:hint="eastAsia"/>
        </w:rPr>
        <w:t>容许变形或位移。</w:t>
      </w:r>
      <w:r>
        <w:rPr>
          <w:color w:val="000000" w:themeColor="text1"/>
          <w14:textFill>
            <w14:solidFill>
              <w14:schemeClr w14:val="tx1"/>
            </w14:solidFill>
          </w14:textFill>
        </w:rPr>
        <w:br w:type="page"/>
      </w:r>
    </w:p>
    <w:p w14:paraId="10561DBF">
      <w:pPr>
        <w:pStyle w:val="2"/>
        <w:bidi w:val="0"/>
        <w:rPr>
          <w:rFonts w:hint="default"/>
          <w:color w:val="000000" w:themeColor="text1"/>
          <w:lang w:val="en-US" w:eastAsia="zh-CN"/>
          <w14:textFill>
            <w14:solidFill>
              <w14:schemeClr w14:val="tx1"/>
            </w14:solidFill>
          </w14:textFill>
        </w:rPr>
      </w:pPr>
      <w:bookmarkStart w:id="49" w:name="_Toc493608147"/>
      <w:bookmarkStart w:id="50" w:name="_Toc544"/>
      <w:bookmarkStart w:id="51" w:name="_Toc27978"/>
      <w:r>
        <w:rPr>
          <w:rFonts w:hint="eastAsia"/>
          <w:color w:val="000000" w:themeColor="text1"/>
          <w:lang w:eastAsia="zh-CN"/>
          <w14:textFill>
            <w14:solidFill>
              <w14:schemeClr w14:val="tx1"/>
            </w14:solidFill>
          </w14:textFill>
        </w:rPr>
        <w:t>第</w:t>
      </w:r>
      <w:r>
        <w:rPr>
          <w:rFonts w:hint="eastAsia"/>
          <w:color w:val="000000" w:themeColor="text1"/>
          <w:lang w:val="en-US" w:eastAsia="zh-CN"/>
          <w14:textFill>
            <w14:solidFill>
              <w14:schemeClr w14:val="tx1"/>
            </w14:solidFill>
          </w14:textFill>
        </w:rPr>
        <w:t>3</w:t>
      </w:r>
      <w:r>
        <w:rPr>
          <w:rFonts w:hint="eastAsia"/>
          <w:color w:val="000000" w:themeColor="text1"/>
          <w:lang w:eastAsia="zh-CN"/>
          <w14:textFill>
            <w14:solidFill>
              <w14:schemeClr w14:val="tx1"/>
            </w14:solidFill>
          </w14:textFill>
        </w:rPr>
        <w:t>章</w:t>
      </w:r>
      <w:r>
        <w:rPr>
          <w:color w:val="000000" w:themeColor="text1"/>
          <w14:textFill>
            <w14:solidFill>
              <w14:schemeClr w14:val="tx1"/>
            </w14:solidFill>
          </w14:textFill>
        </w:rPr>
        <w:t xml:space="preserve">  </w:t>
      </w:r>
      <w:bookmarkEnd w:id="41"/>
      <w:bookmarkEnd w:id="42"/>
      <w:bookmarkEnd w:id="43"/>
      <w:bookmarkEnd w:id="44"/>
      <w:bookmarkEnd w:id="45"/>
      <w:bookmarkEnd w:id="46"/>
      <w:bookmarkEnd w:id="49"/>
      <w:bookmarkEnd w:id="50"/>
      <w:r>
        <w:rPr>
          <w:rFonts w:hint="eastAsia"/>
          <w:color w:val="000000" w:themeColor="text1"/>
          <w:lang w:val="en-US" w:eastAsia="zh-CN"/>
          <w14:textFill>
            <w14:solidFill>
              <w14:schemeClr w14:val="tx1"/>
            </w14:solidFill>
          </w14:textFill>
        </w:rPr>
        <w:t>基本规定</w:t>
      </w:r>
      <w:bookmarkEnd w:id="51"/>
    </w:p>
    <w:p w14:paraId="7443DBD7">
      <w:pPr>
        <w:rPr>
          <w:highlight w:val="none"/>
        </w:rPr>
      </w:pPr>
      <w:bookmarkStart w:id="52" w:name="_Toc7136"/>
      <w:r>
        <w:rPr>
          <w:b/>
          <w:bCs/>
          <w:highlight w:val="none"/>
        </w:rPr>
        <w:t>3.</w:t>
      </w:r>
      <w:r>
        <w:rPr>
          <w:rFonts w:hint="eastAsia"/>
          <w:b/>
          <w:bCs/>
          <w:highlight w:val="none"/>
        </w:rPr>
        <w:t>0</w:t>
      </w:r>
      <w:r>
        <w:rPr>
          <w:b/>
          <w:bCs/>
          <w:highlight w:val="none"/>
        </w:rPr>
        <w:t>.1</w:t>
      </w:r>
      <w:r>
        <w:rPr>
          <w:rFonts w:hint="eastAsia"/>
          <w:highlight w:val="none"/>
        </w:rPr>
        <w:t xml:space="preserve">  </w:t>
      </w:r>
      <w:bookmarkEnd w:id="52"/>
      <w:r>
        <w:rPr>
          <w:rFonts w:hint="eastAsia"/>
          <w:highlight w:val="none"/>
        </w:rPr>
        <w:t>集成平台分类</w:t>
      </w:r>
    </w:p>
    <w:p w14:paraId="66FB85CC">
      <w:pPr>
        <w:ind w:firstLine="482" w:firstLineChars="200"/>
        <w:rPr>
          <w:rFonts w:hint="default" w:ascii="Times New Roman" w:hAnsi="Times New Roman" w:eastAsia="宋体" w:cs="Times New Roman"/>
          <w:strike w:val="0"/>
          <w:dstrike w:val="0"/>
          <w:highlight w:val="none"/>
          <w:lang w:val="en-US" w:eastAsia="zh-CN"/>
        </w:rPr>
      </w:pPr>
      <w:r>
        <w:rPr>
          <w:rFonts w:hint="eastAsia" w:ascii="Times New Roman" w:hAnsi="Times New Roman" w:eastAsia="宋体" w:cs="Times New Roman"/>
          <w:b/>
          <w:bCs/>
          <w:strike w:val="0"/>
          <w:dstrike w:val="0"/>
          <w:highlight w:val="none"/>
          <w:lang w:val="en-US" w:eastAsia="zh-CN"/>
        </w:rPr>
        <w:t>1</w:t>
      </w:r>
      <w:r>
        <w:rPr>
          <w:rFonts w:hint="eastAsia" w:cs="Times New Roman"/>
          <w:strike w:val="0"/>
          <w:dstrike w:val="0"/>
          <w:highlight w:val="none"/>
          <w:lang w:val="en-US" w:eastAsia="zh-CN"/>
        </w:rPr>
        <w:t xml:space="preserve">  </w:t>
      </w:r>
      <w:r>
        <w:rPr>
          <w:rFonts w:hint="eastAsia" w:ascii="Times New Roman" w:hAnsi="Times New Roman" w:eastAsia="宋体" w:cs="Times New Roman"/>
          <w:strike w:val="0"/>
          <w:dstrike w:val="0"/>
          <w:highlight w:val="none"/>
          <w:lang w:val="en-US" w:eastAsia="zh-CN"/>
        </w:rPr>
        <w:t>集成平台按</w:t>
      </w:r>
      <w:r>
        <w:rPr>
          <w:rFonts w:hint="eastAsia" w:cs="Times New Roman"/>
          <w:strike w:val="0"/>
          <w:dstrike w:val="0"/>
          <w:highlight w:val="none"/>
          <w:lang w:val="en-US" w:eastAsia="zh-CN"/>
        </w:rPr>
        <w:t>额定承载量分为轻载型、重载型，轻载型集成平台面向高层建筑结构施工，可集成轻型设备设施的施工作业集成平台，额定承载量（不含集成平台自重）小于200t；重载型集成平台面向高层建筑结构施工，顶部具备大型堆场，可集成重型装备的施工作业集成平台，额定承载量不小于200t且最大单台集成设备质量不小于100t。</w:t>
      </w:r>
    </w:p>
    <w:p w14:paraId="116A0219">
      <w:pPr>
        <w:ind w:firstLine="482" w:firstLineChars="200"/>
        <w:rPr>
          <w:rFonts w:hint="eastAsia"/>
          <w:lang w:val="en-US" w:eastAsia="zh-CN"/>
        </w:rPr>
      </w:pPr>
      <w:r>
        <w:rPr>
          <w:rFonts w:hint="eastAsia" w:ascii="Times New Roman" w:hAnsi="Times New Roman" w:eastAsia="宋体" w:cs="Times New Roman"/>
          <w:b/>
          <w:bCs/>
          <w:strike w:val="0"/>
          <w:dstrike w:val="0"/>
          <w:highlight w:val="none"/>
          <w:lang w:val="en-US" w:eastAsia="zh-CN"/>
        </w:rPr>
        <w:t>2</w:t>
      </w:r>
      <w:r>
        <w:rPr>
          <w:rFonts w:hint="eastAsia" w:ascii="Times New Roman" w:hAnsi="Times New Roman" w:eastAsia="宋体" w:cs="Times New Roman"/>
          <w:strike w:val="0"/>
          <w:dstrike w:val="0"/>
          <w:highlight w:val="none"/>
          <w:lang w:val="en-US" w:eastAsia="zh-CN"/>
        </w:rPr>
        <w:t xml:space="preserve"> </w:t>
      </w:r>
      <w:r>
        <w:rPr>
          <w:rFonts w:hint="eastAsia" w:cs="Times New Roman"/>
          <w:strike w:val="0"/>
          <w:dstrike w:val="0"/>
          <w:highlight w:val="none"/>
          <w:lang w:val="en-US" w:eastAsia="zh-CN"/>
        </w:rPr>
        <w:t xml:space="preserve"> </w:t>
      </w:r>
      <w:r>
        <w:rPr>
          <w:rFonts w:hint="eastAsia" w:ascii="Times New Roman" w:hAnsi="Times New Roman" w:eastAsia="宋体" w:cs="Times New Roman"/>
          <w:strike w:val="0"/>
          <w:dstrike w:val="0"/>
          <w:highlight w:val="none"/>
          <w:lang w:val="en-US" w:eastAsia="zh-CN"/>
        </w:rPr>
        <w:t>集成平台按智能化水平分为</w:t>
      </w:r>
      <w:r>
        <w:rPr>
          <w:rFonts w:hint="eastAsia" w:cs="Times New Roman"/>
          <w:strike w:val="0"/>
          <w:dstrike w:val="0"/>
          <w:highlight w:val="none"/>
          <w:lang w:val="en-US" w:eastAsia="zh-CN"/>
        </w:rPr>
        <w:t>标准型、智能型，</w:t>
      </w:r>
      <w:r>
        <w:rPr>
          <w:rFonts w:hint="eastAsia"/>
          <w:lang w:val="en-US" w:eastAsia="zh-CN"/>
        </w:rPr>
        <w:t>标准型为在</w:t>
      </w:r>
      <w:r>
        <w:rPr>
          <w:rFonts w:hint="eastAsia" w:ascii="Times New Roman" w:hAnsi="Times New Roman" w:eastAsia="宋体" w:cs="Times New Roman"/>
          <w:strike w:val="0"/>
          <w:dstrike w:val="0"/>
          <w:highlight w:val="none"/>
          <w:lang w:val="en-US" w:eastAsia="zh-CN"/>
        </w:rPr>
        <w:t>集成平台</w:t>
      </w:r>
      <w:r>
        <w:rPr>
          <w:rFonts w:hint="eastAsia" w:ascii="Arial" w:hAnsi="Arial" w:eastAsia="宋体" w:cs="Arial"/>
          <w:i w:val="0"/>
          <w:iCs w:val="0"/>
          <w:caps w:val="0"/>
          <w:color w:val="333333"/>
          <w:spacing w:val="0"/>
          <w:sz w:val="24"/>
          <w:szCs w:val="24"/>
          <w:shd w:val="clear" w:fill="FFFFFF"/>
          <w:lang w:val="en-US" w:eastAsia="zh-CN"/>
        </w:rPr>
        <w:t>集成施工升降机、混凝土布料机等</w:t>
      </w:r>
      <w:r>
        <w:rPr>
          <w:rFonts w:hint="eastAsia" w:ascii="Arial" w:hAnsi="Arial" w:cs="Arial"/>
          <w:i w:val="0"/>
          <w:iCs w:val="0"/>
          <w:caps w:val="0"/>
          <w:color w:val="333333"/>
          <w:spacing w:val="0"/>
          <w:sz w:val="24"/>
          <w:szCs w:val="24"/>
          <w:shd w:val="clear" w:fill="FFFFFF"/>
          <w:lang w:val="en-US" w:eastAsia="zh-CN"/>
        </w:rPr>
        <w:t>基础设备</w:t>
      </w:r>
      <w:r>
        <w:rPr>
          <w:rFonts w:hint="eastAsia" w:ascii="Arial" w:hAnsi="Arial" w:cs="Arial"/>
          <w:i w:val="0"/>
          <w:iCs w:val="0"/>
          <w:caps w:val="0"/>
          <w:color w:val="333333"/>
          <w:spacing w:val="0"/>
          <w:sz w:val="24"/>
          <w:szCs w:val="24"/>
          <w:shd w:val="clear" w:fill="FFFFFF"/>
          <w:lang w:eastAsia="zh-CN"/>
        </w:rPr>
        <w:t>，</w:t>
      </w:r>
      <w:r>
        <w:rPr>
          <w:rFonts w:hint="eastAsia"/>
          <w:lang w:val="en-US" w:eastAsia="zh-CN"/>
        </w:rPr>
        <w:t>具备电控同步顶升、本地人机交互界面，顶升过程可实现多油缸同步控制。智能型为在集成平台上集成智能塔吊、智能施工电梯、智能运输车、智能布料机、水平运输设备、隔音降噪装置、遮阳降温装置、物联感知与通信设备、建筑机器人、设备控制与监测平台等技术或装备，具备远程监控、自主纠偏、多装备协同能力。</w:t>
      </w:r>
    </w:p>
    <w:p w14:paraId="6A76742C">
      <w:pPr>
        <w:rPr>
          <w:rFonts w:hint="eastAsia"/>
          <w:highlight w:val="none"/>
        </w:rPr>
      </w:pPr>
      <w:r>
        <w:rPr>
          <w:b/>
          <w:bCs/>
          <w:highlight w:val="none"/>
        </w:rPr>
        <w:t>3.</w:t>
      </w:r>
      <w:r>
        <w:rPr>
          <w:rFonts w:hint="eastAsia"/>
          <w:b/>
          <w:bCs/>
          <w:highlight w:val="none"/>
        </w:rPr>
        <w:t>0</w:t>
      </w:r>
      <w:r>
        <w:rPr>
          <w:b/>
          <w:bCs/>
          <w:highlight w:val="none"/>
        </w:rPr>
        <w:t>.</w:t>
      </w:r>
      <w:r>
        <w:rPr>
          <w:rFonts w:hint="eastAsia"/>
          <w:b/>
          <w:bCs/>
          <w:highlight w:val="none"/>
        </w:rPr>
        <w:t>3</w:t>
      </w:r>
      <w:r>
        <w:rPr>
          <w:rFonts w:hint="eastAsia"/>
          <w:highlight w:val="none"/>
        </w:rPr>
        <w:t xml:space="preserve"> </w:t>
      </w:r>
      <w:r>
        <w:rPr>
          <w:rFonts w:hint="eastAsia"/>
          <w:highlight w:val="none"/>
          <w:lang w:val="en-US" w:eastAsia="zh-CN"/>
        </w:rPr>
        <w:t xml:space="preserve"> </w:t>
      </w:r>
      <w:r>
        <w:rPr>
          <w:rFonts w:hint="eastAsia" w:ascii="Times New Roman" w:hAnsi="Times New Roman" w:eastAsia="宋体" w:cs="Times New Roman"/>
          <w:highlight w:val="none"/>
        </w:rPr>
        <w:t>集成平台</w:t>
      </w:r>
      <w:r>
        <w:rPr>
          <w:rFonts w:hint="eastAsia" w:cs="Times New Roman"/>
          <w:highlight w:val="none"/>
          <w:lang w:val="en-US" w:eastAsia="zh-CN"/>
        </w:rPr>
        <w:t>一般</w:t>
      </w:r>
      <w:r>
        <w:rPr>
          <w:rFonts w:hint="eastAsia" w:ascii="Times New Roman" w:hAnsi="Times New Roman" w:eastAsia="宋体" w:cs="Times New Roman"/>
          <w:highlight w:val="none"/>
        </w:rPr>
        <w:t>包括</w:t>
      </w:r>
      <w:r>
        <w:rPr>
          <w:rFonts w:hint="eastAsia" w:cs="Times New Roman"/>
          <w:highlight w:val="none"/>
          <w:lang w:val="en-US" w:eastAsia="zh-CN"/>
        </w:rPr>
        <w:t>支承系统</w:t>
      </w:r>
      <w:r>
        <w:rPr>
          <w:rFonts w:hint="eastAsia" w:ascii="Times New Roman" w:hAnsi="Times New Roman" w:eastAsia="宋体" w:cs="Times New Roman"/>
          <w:highlight w:val="none"/>
          <w:lang w:eastAsia="zh-CN"/>
        </w:rPr>
        <w:t>、</w:t>
      </w:r>
      <w:r>
        <w:rPr>
          <w:rFonts w:hint="eastAsia" w:cs="Times New Roman"/>
          <w:highlight w:val="none"/>
          <w:lang w:val="en-US" w:eastAsia="zh-CN"/>
        </w:rPr>
        <w:t>钢平台系统、动力系统</w:t>
      </w:r>
      <w:r>
        <w:rPr>
          <w:rFonts w:hint="eastAsia" w:ascii="Times New Roman" w:hAnsi="Times New Roman" w:eastAsia="宋体" w:cs="Times New Roman"/>
          <w:highlight w:val="none"/>
          <w:lang w:eastAsia="zh-CN"/>
        </w:rPr>
        <w:t>、</w:t>
      </w:r>
      <w:r>
        <w:rPr>
          <w:rFonts w:hint="eastAsia" w:cs="Times New Roman"/>
          <w:highlight w:val="none"/>
          <w:lang w:val="en-US" w:eastAsia="zh-CN"/>
        </w:rPr>
        <w:t>电气</w:t>
      </w:r>
      <w:r>
        <w:rPr>
          <w:rFonts w:hint="eastAsia" w:ascii="Times New Roman" w:hAnsi="Times New Roman" w:eastAsia="宋体" w:cs="Times New Roman"/>
          <w:highlight w:val="none"/>
        </w:rPr>
        <w:t>系统</w:t>
      </w:r>
      <w:r>
        <w:rPr>
          <w:rFonts w:hint="eastAsia" w:ascii="Times New Roman" w:hAnsi="Times New Roman" w:eastAsia="宋体" w:cs="Times New Roman"/>
          <w:highlight w:val="none"/>
          <w:lang w:eastAsia="zh-CN"/>
        </w:rPr>
        <w:t>、</w:t>
      </w:r>
      <w:r>
        <w:rPr>
          <w:rFonts w:hint="eastAsia" w:cs="Times New Roman"/>
          <w:highlight w:val="none"/>
          <w:lang w:val="en-US" w:eastAsia="zh-CN"/>
        </w:rPr>
        <w:t>监测系统、</w:t>
      </w:r>
      <w:r>
        <w:rPr>
          <w:rFonts w:hint="eastAsia" w:ascii="Times New Roman" w:hAnsi="Times New Roman" w:eastAsia="宋体" w:cs="Times New Roman"/>
          <w:highlight w:val="none"/>
        </w:rPr>
        <w:t>智能控制</w:t>
      </w:r>
      <w:r>
        <w:rPr>
          <w:rFonts w:hint="eastAsia" w:cs="Times New Roman"/>
          <w:highlight w:val="none"/>
          <w:lang w:val="en-US" w:eastAsia="zh-CN"/>
        </w:rPr>
        <w:t>系统、</w:t>
      </w:r>
      <w:r>
        <w:rPr>
          <w:rFonts w:hint="eastAsia" w:ascii="Times New Roman" w:hAnsi="Times New Roman" w:eastAsia="宋体" w:cs="Times New Roman"/>
          <w:highlight w:val="none"/>
        </w:rPr>
        <w:t>挂架系统</w:t>
      </w:r>
      <w:r>
        <w:rPr>
          <w:rFonts w:hint="eastAsia" w:cs="Times New Roman"/>
          <w:highlight w:val="none"/>
          <w:lang w:val="en-US" w:eastAsia="zh-CN"/>
        </w:rPr>
        <w:t>及集成设备设施等</w:t>
      </w:r>
      <w:r>
        <w:rPr>
          <w:rFonts w:hint="eastAsia" w:ascii="Times New Roman" w:hAnsi="Times New Roman" w:eastAsia="宋体" w:cs="Times New Roman"/>
          <w:highlight w:val="none"/>
        </w:rPr>
        <w:t>。</w:t>
      </w:r>
    </w:p>
    <w:p w14:paraId="15CA5827">
      <w:pPr>
        <w:rPr>
          <w:color w:val="0000FF"/>
        </w:rPr>
      </w:pPr>
      <w:r>
        <w:rPr>
          <w:b/>
          <w:bCs/>
        </w:rPr>
        <w:t>3.</w:t>
      </w:r>
      <w:r>
        <w:rPr>
          <w:rFonts w:hint="eastAsia"/>
          <w:b/>
          <w:bCs/>
        </w:rPr>
        <w:t>0</w:t>
      </w:r>
      <w:r>
        <w:rPr>
          <w:b/>
          <w:bCs/>
        </w:rPr>
        <w:t>.</w:t>
      </w:r>
      <w:r>
        <w:rPr>
          <w:rFonts w:hint="eastAsia"/>
          <w:b/>
          <w:bCs/>
        </w:rPr>
        <w:t>4</w:t>
      </w:r>
      <w:r>
        <w:rPr>
          <w:rFonts w:hint="eastAsia"/>
        </w:rPr>
        <w:t xml:space="preserve">  集成平台</w:t>
      </w:r>
      <w:r>
        <w:rPr>
          <w:rFonts w:hint="eastAsia"/>
          <w:lang w:val="en-US" w:eastAsia="zh-CN"/>
        </w:rPr>
        <w:t>的</w:t>
      </w:r>
      <w:r>
        <w:rPr>
          <w:rFonts w:hint="eastAsia"/>
        </w:rPr>
        <w:t>总体技术性能指标</w:t>
      </w:r>
      <w:r>
        <w:rPr>
          <w:rFonts w:hint="eastAsia"/>
          <w:lang w:val="en-US" w:eastAsia="zh-CN"/>
        </w:rPr>
        <w:t>应包括</w:t>
      </w:r>
      <w:r>
        <w:rPr>
          <w:rFonts w:hint="eastAsia"/>
        </w:rPr>
        <w:t>额定承载能力、最大适用高度、爬升速度、同步精度、抗风等级、噪声限值。</w:t>
      </w:r>
    </w:p>
    <w:p w14:paraId="2DDEC785">
      <w:pPr>
        <w:rPr>
          <w:color w:val="0000FF"/>
        </w:rPr>
      </w:pPr>
      <w:r>
        <w:rPr>
          <w:b/>
          <w:bCs/>
        </w:rPr>
        <w:t>3.</w:t>
      </w:r>
      <w:r>
        <w:rPr>
          <w:rFonts w:hint="eastAsia"/>
          <w:b/>
          <w:bCs/>
        </w:rPr>
        <w:t>0</w:t>
      </w:r>
      <w:r>
        <w:rPr>
          <w:b/>
          <w:bCs/>
        </w:rPr>
        <w:t>.</w:t>
      </w:r>
      <w:r>
        <w:rPr>
          <w:rFonts w:hint="eastAsia"/>
          <w:b/>
          <w:bCs/>
        </w:rPr>
        <w:t>5</w:t>
      </w:r>
      <w:r>
        <w:rPr>
          <w:rFonts w:hint="eastAsia"/>
        </w:rPr>
        <w:t xml:space="preserve">  集成平台</w:t>
      </w:r>
      <w:r>
        <w:rPr>
          <w:rFonts w:hint="eastAsia"/>
          <w:lang w:val="en-US" w:eastAsia="zh-CN"/>
        </w:rPr>
        <w:t>的</w:t>
      </w:r>
      <w:r>
        <w:rPr>
          <w:rFonts w:hint="eastAsia"/>
        </w:rPr>
        <w:t>一般功能要求</w:t>
      </w:r>
      <w:r>
        <w:rPr>
          <w:rFonts w:hint="eastAsia"/>
          <w:lang w:val="en-US" w:eastAsia="zh-CN"/>
        </w:rPr>
        <w:t>应包括：</w:t>
      </w:r>
      <w:r>
        <w:rPr>
          <w:rFonts w:hint="eastAsia"/>
        </w:rPr>
        <w:t>承载与传力、提升/顶升、作业防护、物料转运、施工供水供电、子系统兼容与扩展。</w:t>
      </w:r>
    </w:p>
    <w:p w14:paraId="0DCADAD7">
      <w:pPr>
        <w:rPr>
          <w:rFonts w:hint="eastAsia" w:eastAsia="宋体"/>
          <w:lang w:eastAsia="zh-CN"/>
        </w:rPr>
      </w:pPr>
      <w:r>
        <w:rPr>
          <w:b/>
          <w:bCs/>
        </w:rPr>
        <w:t>3.</w:t>
      </w:r>
      <w:r>
        <w:rPr>
          <w:rFonts w:hint="eastAsia"/>
          <w:b/>
          <w:bCs/>
        </w:rPr>
        <w:t>0</w:t>
      </w:r>
      <w:r>
        <w:rPr>
          <w:b/>
          <w:bCs/>
        </w:rPr>
        <w:t>.</w:t>
      </w:r>
      <w:r>
        <w:rPr>
          <w:rFonts w:hint="eastAsia"/>
          <w:b/>
          <w:bCs/>
        </w:rPr>
        <w:t>6</w:t>
      </w:r>
      <w:r>
        <w:rPr>
          <w:rFonts w:hint="eastAsia"/>
        </w:rPr>
        <w:t xml:space="preserve"> </w:t>
      </w:r>
      <w:r>
        <w:rPr>
          <w:rFonts w:hint="eastAsia" w:ascii="Times New Roman" w:hAnsi="Times New Roman" w:eastAsia="宋体" w:cs="Times New Roman"/>
        </w:rPr>
        <w:t>集成平台的</w:t>
      </w:r>
      <w:r>
        <w:rPr>
          <w:rFonts w:hint="eastAsia"/>
        </w:rPr>
        <w:t>环境适应性</w:t>
      </w:r>
      <w:r>
        <w:rPr>
          <w:rFonts w:hint="eastAsia"/>
          <w:lang w:val="en-US" w:eastAsia="zh-CN"/>
        </w:rPr>
        <w:t>应满足以下</w:t>
      </w:r>
      <w:r>
        <w:rPr>
          <w:rFonts w:hint="eastAsia"/>
        </w:rPr>
        <w:t>要求</w:t>
      </w:r>
      <w:r>
        <w:rPr>
          <w:rFonts w:hint="eastAsia"/>
          <w:lang w:eastAsia="zh-CN"/>
        </w:rPr>
        <w:t>：</w:t>
      </w:r>
    </w:p>
    <w:p w14:paraId="6412BB37">
      <w:pPr>
        <w:ind w:firstLine="482" w:firstLineChars="200"/>
        <w:rPr>
          <w:rFonts w:hint="eastAsia" w:ascii="Times New Roman" w:hAnsi="Times New Roman" w:eastAsia="宋体" w:cs="Times New Roman"/>
          <w:highlight w:val="none"/>
        </w:rPr>
      </w:pPr>
      <w:r>
        <w:rPr>
          <w:rFonts w:hint="eastAsia" w:ascii="Times New Roman" w:hAnsi="Times New Roman" w:eastAsia="宋体" w:cs="Times New Roman"/>
          <w:b/>
          <w:bCs/>
          <w:highlight w:val="none"/>
          <w:lang w:val="en-US" w:eastAsia="zh-CN"/>
        </w:rPr>
        <w:t xml:space="preserve">1  </w:t>
      </w:r>
      <w:r>
        <w:rPr>
          <w:rFonts w:hint="eastAsia" w:ascii="Times New Roman" w:hAnsi="Times New Roman" w:eastAsia="宋体" w:cs="Times New Roman"/>
          <w:b w:val="0"/>
          <w:bCs w:val="0"/>
          <w:highlight w:val="none"/>
          <w:lang w:val="en-US" w:eastAsia="zh-CN"/>
        </w:rPr>
        <w:t>集成平台的风速限值实行风力等级与风速双控，并应符合表3.0.6的规定：作业阶段风速不应大于20m/s（8级），达到8级及以上时应停止一切施工作业并转入停工状态；顶升、提升阶段风速不应大于10.8m/s（5级），达到6级（10.8m/s）及以上时严禁顶升、提升作业；拆除阶段风速不应大于12m/s（6级），达到6级（12m/s）及以上时应停止拆除作业；停工阶段不设固定风速限值，其抗风能力应按本指南5.2.2条按50年重现期风荷载进行专项验算；停工期间风速超过设计允许值时，应对集成平台采取稳固性措施。</w:t>
      </w:r>
    </w:p>
    <w:p w14:paraId="2B124D16">
      <w:pPr>
        <w:tabs>
          <w:tab w:val="left" w:pos="3896"/>
        </w:tabs>
        <w:spacing w:before="174"/>
        <w:jc w:val="center"/>
        <w:rPr>
          <w:rFonts w:hint="default" w:ascii="Times New Roman" w:hAnsi="Times New Roman" w:eastAsia="宋体" w:cs="Times New Roman"/>
          <w:sz w:val="21"/>
          <w:szCs w:val="21"/>
          <w:highlight w:val="none"/>
        </w:rPr>
      </w:pPr>
      <w:r>
        <w:rPr>
          <w:rFonts w:hint="default" w:ascii="Times New Roman" w:hAnsi="Times New Roman" w:eastAsia="黑体" w:cs="Times New Roman"/>
          <w:b w:val="0"/>
          <w:bCs/>
          <w:spacing w:val="-4"/>
          <w:sz w:val="21"/>
          <w:szCs w:val="21"/>
        </w:rPr>
        <w:t>表 3.0.6  集成平台风速限值（风力等级与风速双控）</w:t>
      </w:r>
    </w:p>
    <w:tbl>
      <w:tblPr>
        <w:tblStyle w:val="2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9"/>
        <w:gridCol w:w="1099"/>
        <w:gridCol w:w="1599"/>
        <w:gridCol w:w="5396"/>
      </w:tblGrid>
      <w:tr w14:paraId="5FD9B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dxa"/>
          </w:tcPr>
          <w:p w14:paraId="71EB11B2">
            <w:pPr>
              <w:jc w:val="center"/>
            </w:pPr>
            <w:r>
              <w:rPr>
                <w:rFonts w:ascii="Times New Roman" w:hAnsi="Times New Roman" w:eastAsia="黑体" w:cs="Times New Roman"/>
                <w:sz w:val="21"/>
                <w:szCs w:val="21"/>
              </w:rPr>
              <w:t>工况</w:t>
            </w:r>
          </w:p>
        </w:tc>
        <w:tc>
          <w:tcPr>
            <w:tcW w:w="1100" w:type="dxa"/>
          </w:tcPr>
          <w:p w14:paraId="48CE43C5">
            <w:pPr>
              <w:jc w:val="center"/>
            </w:pPr>
            <w:r>
              <w:rPr>
                <w:rFonts w:ascii="Times New Roman" w:hAnsi="Times New Roman" w:eastAsia="黑体" w:cs="Times New Roman"/>
                <w:sz w:val="21"/>
                <w:szCs w:val="21"/>
              </w:rPr>
              <w:t>风力等级</w:t>
            </w:r>
          </w:p>
        </w:tc>
        <w:tc>
          <w:tcPr>
            <w:tcW w:w="1600" w:type="dxa"/>
          </w:tcPr>
          <w:p w14:paraId="20A85069">
            <w:pPr>
              <w:jc w:val="center"/>
            </w:pPr>
            <w:r>
              <w:rPr>
                <w:rFonts w:ascii="Times New Roman" w:hAnsi="Times New Roman" w:eastAsia="黑体" w:cs="Times New Roman"/>
                <w:sz w:val="21"/>
                <w:szCs w:val="21"/>
              </w:rPr>
              <w:t>风速限值（m/s）</w:t>
            </w:r>
          </w:p>
        </w:tc>
        <w:tc>
          <w:tcPr>
            <w:tcW w:w="5400" w:type="dxa"/>
          </w:tcPr>
          <w:p w14:paraId="5EC06261">
            <w:pPr>
              <w:jc w:val="left"/>
            </w:pPr>
            <w:r>
              <w:rPr>
                <w:rFonts w:ascii="Times New Roman" w:hAnsi="Times New Roman" w:eastAsia="黑体" w:cs="Times New Roman"/>
                <w:sz w:val="21"/>
                <w:szCs w:val="21"/>
              </w:rPr>
              <w:t>控制措施</w:t>
            </w:r>
          </w:p>
        </w:tc>
      </w:tr>
      <w:tr w14:paraId="7D81A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dxa"/>
          </w:tcPr>
          <w:p w14:paraId="585B949A">
            <w:pPr>
              <w:jc w:val="center"/>
            </w:pPr>
            <w:r>
              <w:rPr>
                <w:rFonts w:ascii="Times New Roman" w:hAnsi="Times New Roman" w:eastAsia="宋体" w:cs="Times New Roman"/>
                <w:sz w:val="21"/>
                <w:szCs w:val="21"/>
              </w:rPr>
              <w:t>作业</w:t>
            </w:r>
          </w:p>
        </w:tc>
        <w:tc>
          <w:tcPr>
            <w:tcW w:w="1100" w:type="dxa"/>
          </w:tcPr>
          <w:p w14:paraId="0AE23E78">
            <w:pPr>
              <w:jc w:val="center"/>
            </w:pPr>
            <w:r>
              <w:rPr>
                <w:rFonts w:ascii="Times New Roman" w:hAnsi="Times New Roman" w:eastAsia="宋体" w:cs="Times New Roman"/>
                <w:sz w:val="21"/>
                <w:szCs w:val="21"/>
              </w:rPr>
              <w:t>≤8级</w:t>
            </w:r>
          </w:p>
        </w:tc>
        <w:tc>
          <w:tcPr>
            <w:tcW w:w="1600" w:type="dxa"/>
          </w:tcPr>
          <w:p w14:paraId="26852A88">
            <w:pPr>
              <w:jc w:val="center"/>
            </w:pPr>
            <w:r>
              <w:rPr>
                <w:rFonts w:ascii="Times New Roman" w:hAnsi="Times New Roman" w:eastAsia="宋体" w:cs="Times New Roman"/>
                <w:sz w:val="21"/>
                <w:szCs w:val="21"/>
              </w:rPr>
              <w:t>≤20</w:t>
            </w:r>
          </w:p>
        </w:tc>
        <w:tc>
          <w:tcPr>
            <w:tcW w:w="5400" w:type="dxa"/>
          </w:tcPr>
          <w:p w14:paraId="4FD1703D">
            <w:pPr>
              <w:jc w:val="left"/>
            </w:pPr>
            <w:r>
              <w:rPr>
                <w:rFonts w:ascii="Times New Roman" w:hAnsi="Times New Roman" w:eastAsia="宋体" w:cs="Times New Roman"/>
                <w:sz w:val="21"/>
                <w:szCs w:val="21"/>
              </w:rPr>
              <w:t>达到8级及以上停止一切施工作业，转入停工状态</w:t>
            </w:r>
          </w:p>
        </w:tc>
      </w:tr>
      <w:tr w14:paraId="26719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dxa"/>
          </w:tcPr>
          <w:p w14:paraId="04ED4F98">
            <w:pPr>
              <w:jc w:val="center"/>
            </w:pPr>
            <w:r>
              <w:rPr>
                <w:rFonts w:ascii="Times New Roman" w:hAnsi="Times New Roman" w:eastAsia="宋体" w:cs="Times New Roman"/>
                <w:sz w:val="21"/>
                <w:szCs w:val="21"/>
              </w:rPr>
              <w:t>顶升</w:t>
            </w:r>
          </w:p>
        </w:tc>
        <w:tc>
          <w:tcPr>
            <w:tcW w:w="1100" w:type="dxa"/>
          </w:tcPr>
          <w:p w14:paraId="25738E93">
            <w:pPr>
              <w:jc w:val="center"/>
            </w:pPr>
            <w:r>
              <w:rPr>
                <w:rFonts w:ascii="Times New Roman" w:hAnsi="Times New Roman" w:eastAsia="宋体" w:cs="Times New Roman"/>
                <w:sz w:val="21"/>
                <w:szCs w:val="21"/>
              </w:rPr>
              <w:t>≤5级</w:t>
            </w:r>
          </w:p>
        </w:tc>
        <w:tc>
          <w:tcPr>
            <w:tcW w:w="1600" w:type="dxa"/>
          </w:tcPr>
          <w:p w14:paraId="29BAA63A">
            <w:pPr>
              <w:jc w:val="center"/>
            </w:pPr>
            <w:r>
              <w:rPr>
                <w:rFonts w:ascii="Times New Roman" w:hAnsi="Times New Roman" w:eastAsia="宋体" w:cs="Times New Roman"/>
                <w:sz w:val="21"/>
                <w:szCs w:val="21"/>
              </w:rPr>
              <w:t>≤10.8</w:t>
            </w:r>
          </w:p>
        </w:tc>
        <w:tc>
          <w:tcPr>
            <w:tcW w:w="5400" w:type="dxa"/>
          </w:tcPr>
          <w:p w14:paraId="1CBECE38">
            <w:pPr>
              <w:jc w:val="left"/>
            </w:pPr>
            <w:r>
              <w:rPr>
                <w:rFonts w:ascii="Times New Roman" w:hAnsi="Times New Roman" w:eastAsia="宋体" w:cs="Times New Roman"/>
                <w:sz w:val="21"/>
                <w:szCs w:val="21"/>
              </w:rPr>
              <w:t>达到6级（10.8m/s）及以上严禁顶升作业</w:t>
            </w:r>
          </w:p>
        </w:tc>
      </w:tr>
      <w:tr w14:paraId="40603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dxa"/>
          </w:tcPr>
          <w:p w14:paraId="4C798503">
            <w:pPr>
              <w:jc w:val="center"/>
            </w:pPr>
            <w:r>
              <w:rPr>
                <w:rFonts w:ascii="Times New Roman" w:hAnsi="Times New Roman" w:eastAsia="宋体" w:cs="Times New Roman"/>
                <w:sz w:val="21"/>
                <w:szCs w:val="21"/>
              </w:rPr>
              <w:t>提升</w:t>
            </w:r>
          </w:p>
        </w:tc>
        <w:tc>
          <w:tcPr>
            <w:tcW w:w="1100" w:type="dxa"/>
          </w:tcPr>
          <w:p w14:paraId="65ADB918">
            <w:pPr>
              <w:jc w:val="center"/>
            </w:pPr>
            <w:r>
              <w:rPr>
                <w:rFonts w:ascii="Times New Roman" w:hAnsi="Times New Roman" w:eastAsia="宋体" w:cs="Times New Roman"/>
                <w:sz w:val="21"/>
                <w:szCs w:val="21"/>
              </w:rPr>
              <w:t>≤5级</w:t>
            </w:r>
          </w:p>
        </w:tc>
        <w:tc>
          <w:tcPr>
            <w:tcW w:w="1600" w:type="dxa"/>
          </w:tcPr>
          <w:p w14:paraId="02CB218A">
            <w:pPr>
              <w:jc w:val="center"/>
            </w:pPr>
            <w:r>
              <w:rPr>
                <w:rFonts w:ascii="Times New Roman" w:hAnsi="Times New Roman" w:eastAsia="宋体" w:cs="Times New Roman"/>
                <w:sz w:val="21"/>
                <w:szCs w:val="21"/>
              </w:rPr>
              <w:t>≤10.8</w:t>
            </w:r>
          </w:p>
        </w:tc>
        <w:tc>
          <w:tcPr>
            <w:tcW w:w="5400" w:type="dxa"/>
          </w:tcPr>
          <w:p w14:paraId="61995968">
            <w:pPr>
              <w:jc w:val="left"/>
            </w:pPr>
            <w:r>
              <w:rPr>
                <w:rFonts w:ascii="Times New Roman" w:hAnsi="Times New Roman" w:eastAsia="宋体" w:cs="Times New Roman"/>
                <w:sz w:val="21"/>
                <w:szCs w:val="21"/>
              </w:rPr>
              <w:t>达到6级（10.8m/s）及以上严禁提升作业</w:t>
            </w:r>
          </w:p>
        </w:tc>
      </w:tr>
      <w:tr w14:paraId="3290E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dxa"/>
          </w:tcPr>
          <w:p w14:paraId="6F5249F7">
            <w:pPr>
              <w:jc w:val="center"/>
            </w:pPr>
            <w:r>
              <w:rPr>
                <w:rFonts w:ascii="Times New Roman" w:hAnsi="Times New Roman" w:eastAsia="宋体" w:cs="Times New Roman"/>
                <w:sz w:val="21"/>
                <w:szCs w:val="21"/>
              </w:rPr>
              <w:t>拆除</w:t>
            </w:r>
          </w:p>
        </w:tc>
        <w:tc>
          <w:tcPr>
            <w:tcW w:w="1100" w:type="dxa"/>
          </w:tcPr>
          <w:p w14:paraId="6F43B3CC">
            <w:pPr>
              <w:jc w:val="center"/>
            </w:pPr>
            <w:r>
              <w:rPr>
                <w:rFonts w:ascii="Times New Roman" w:hAnsi="Times New Roman" w:eastAsia="宋体" w:cs="Times New Roman"/>
                <w:sz w:val="21"/>
                <w:szCs w:val="21"/>
              </w:rPr>
              <w:t>≤6级</w:t>
            </w:r>
          </w:p>
        </w:tc>
        <w:tc>
          <w:tcPr>
            <w:tcW w:w="1600" w:type="dxa"/>
          </w:tcPr>
          <w:p w14:paraId="5FF26F1A">
            <w:pPr>
              <w:jc w:val="center"/>
            </w:pPr>
            <w:r>
              <w:rPr>
                <w:rFonts w:ascii="Times New Roman" w:hAnsi="Times New Roman" w:eastAsia="宋体" w:cs="Times New Roman"/>
                <w:sz w:val="21"/>
                <w:szCs w:val="21"/>
              </w:rPr>
              <w:t>≤12</w:t>
            </w:r>
          </w:p>
        </w:tc>
        <w:tc>
          <w:tcPr>
            <w:tcW w:w="5400" w:type="dxa"/>
          </w:tcPr>
          <w:p w14:paraId="14F211B7">
            <w:pPr>
              <w:jc w:val="left"/>
            </w:pPr>
            <w:r>
              <w:rPr>
                <w:rFonts w:ascii="Times New Roman" w:hAnsi="Times New Roman" w:eastAsia="宋体" w:cs="Times New Roman"/>
                <w:sz w:val="21"/>
                <w:szCs w:val="21"/>
              </w:rPr>
              <w:t>达到6级（12m/s）及以上停止拆除作业</w:t>
            </w:r>
          </w:p>
        </w:tc>
      </w:tr>
      <w:tr w14:paraId="5EA51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dxa"/>
          </w:tcPr>
          <w:p w14:paraId="755B847D">
            <w:pPr>
              <w:jc w:val="center"/>
            </w:pPr>
            <w:r>
              <w:rPr>
                <w:rFonts w:ascii="Times New Roman" w:hAnsi="Times New Roman" w:eastAsia="宋体" w:cs="Times New Roman"/>
                <w:sz w:val="21"/>
                <w:szCs w:val="21"/>
              </w:rPr>
              <w:t>停工</w:t>
            </w:r>
          </w:p>
        </w:tc>
        <w:tc>
          <w:tcPr>
            <w:tcW w:w="1100" w:type="dxa"/>
          </w:tcPr>
          <w:p w14:paraId="72E7AB12">
            <w:pPr>
              <w:jc w:val="center"/>
            </w:pPr>
            <w:r>
              <w:rPr>
                <w:rFonts w:ascii="Times New Roman" w:hAnsi="Times New Roman" w:eastAsia="宋体" w:cs="Times New Roman"/>
                <w:sz w:val="21"/>
                <w:szCs w:val="21"/>
              </w:rPr>
              <w:t>—</w:t>
            </w:r>
          </w:p>
        </w:tc>
        <w:tc>
          <w:tcPr>
            <w:tcW w:w="1600" w:type="dxa"/>
          </w:tcPr>
          <w:p w14:paraId="71032DB7">
            <w:pPr>
              <w:jc w:val="center"/>
            </w:pPr>
            <w:r>
              <w:rPr>
                <w:rFonts w:ascii="Times New Roman" w:hAnsi="Times New Roman" w:eastAsia="宋体" w:cs="Times New Roman"/>
                <w:sz w:val="21"/>
                <w:szCs w:val="21"/>
              </w:rPr>
              <w:t>按专项风荷载计算</w:t>
            </w:r>
          </w:p>
        </w:tc>
        <w:tc>
          <w:tcPr>
            <w:tcW w:w="5400" w:type="dxa"/>
          </w:tcPr>
          <w:p w14:paraId="10769047">
            <w:pPr>
              <w:jc w:val="left"/>
            </w:pPr>
            <w:r>
              <w:rPr>
                <w:rFonts w:ascii="Times New Roman" w:hAnsi="Times New Roman" w:eastAsia="宋体" w:cs="Times New Roman"/>
                <w:sz w:val="21"/>
                <w:szCs w:val="21"/>
              </w:rPr>
              <w:t>按50年重现期风荷载验算，超设计允许值采取稳固性措施</w:t>
            </w:r>
          </w:p>
        </w:tc>
      </w:tr>
    </w:tbl>
    <w:p w14:paraId="647F9B1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注：1  风力等级按现行国家标准《建筑结构荷载规范》GB 50009附录E蒲福风级表执行；2  风速以集成平台风速仪实测的10min平均风速为准；3  高度大于300m的超高层平台，停工抗风能力宜结合气象专题复核。</w:t>
      </w:r>
    </w:p>
    <w:p w14:paraId="3D4FC5E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说明：</w:t>
      </w:r>
      <w:r>
        <w:rPr>
          <w:rFonts w:hint="eastAsia" w:ascii="宋体" w:hAnsi="宋体" w:cs="宋体"/>
          <w:b/>
          <w:bCs/>
          <w:sz w:val="21"/>
          <w:szCs w:val="21"/>
          <w:highlight w:val="none"/>
          <w:lang w:val="en-US" w:eastAsia="zh-CN"/>
        </w:rPr>
        <w:t>1</w:t>
      </w:r>
      <w:r>
        <w:rPr>
          <w:rFonts w:hint="eastAsia" w:ascii="宋体" w:hAnsi="宋体" w:cs="宋体"/>
          <w:sz w:val="21"/>
          <w:szCs w:val="21"/>
          <w:highlight w:val="none"/>
          <w:lang w:val="en-US" w:eastAsia="zh-CN"/>
        </w:rPr>
        <w:t xml:space="preserve">  </w:t>
      </w:r>
      <w:r>
        <w:rPr>
          <w:rFonts w:hint="eastAsia" w:ascii="宋体" w:hAnsi="宋体" w:eastAsia="宋体" w:cs="宋体"/>
          <w:sz w:val="21"/>
          <w:szCs w:val="21"/>
          <w:highlight w:val="none"/>
        </w:rPr>
        <w:t>集</w:t>
      </w:r>
      <w:r>
        <w:rPr>
          <w:rFonts w:hint="eastAsia" w:ascii="宋体" w:hAnsi="宋体" w:cs="宋体"/>
          <w:sz w:val="21"/>
          <w:szCs w:val="21"/>
          <w:highlight w:val="none"/>
          <w:lang w:val="en-US" w:eastAsia="zh-CN"/>
        </w:rPr>
        <w:t>成</w:t>
      </w:r>
      <w:r>
        <w:rPr>
          <w:rFonts w:hint="eastAsia" w:ascii="宋体" w:hAnsi="宋体" w:eastAsia="宋体" w:cs="宋体"/>
          <w:sz w:val="21"/>
          <w:szCs w:val="21"/>
          <w:highlight w:val="none"/>
        </w:rPr>
        <w:t>平台</w:t>
      </w:r>
      <w:r>
        <w:rPr>
          <w:rFonts w:hint="eastAsia" w:ascii="宋体" w:hAnsi="宋体" w:cs="宋体"/>
          <w:sz w:val="21"/>
          <w:szCs w:val="21"/>
          <w:highlight w:val="none"/>
          <w:lang w:val="en-US" w:eastAsia="zh-CN"/>
        </w:rPr>
        <w:t>应</w:t>
      </w:r>
      <w:r>
        <w:rPr>
          <w:rFonts w:hint="eastAsia" w:ascii="宋体" w:hAnsi="宋体" w:eastAsia="宋体" w:cs="宋体"/>
          <w:sz w:val="21"/>
          <w:szCs w:val="21"/>
          <w:highlight w:val="none"/>
        </w:rPr>
        <w:t>设置风速仪对风速进行监测。</w:t>
      </w:r>
    </w:p>
    <w:p w14:paraId="597DBAD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color w:val="auto"/>
          <w:highlight w:val="none"/>
          <w:lang w:eastAsia="zh-CN"/>
        </w:rPr>
      </w:pPr>
      <w:r>
        <w:rPr>
          <w:rFonts w:hint="eastAsia" w:cs="Times New Roman"/>
          <w:b/>
          <w:bCs/>
          <w:color w:val="auto"/>
          <w:highlight w:val="none"/>
          <w:lang w:val="en-US" w:eastAsia="zh-CN"/>
        </w:rPr>
        <w:t>2</w:t>
      </w:r>
      <w:r>
        <w:rPr>
          <w:rFonts w:hint="eastAsia"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集成平台的</w:t>
      </w:r>
      <w:r>
        <w:rPr>
          <w:rFonts w:hint="eastAsia" w:cs="Times New Roman"/>
          <w:color w:val="auto"/>
          <w:highlight w:val="none"/>
          <w:lang w:val="en-US" w:eastAsia="zh-CN"/>
        </w:rPr>
        <w:t>结构</w:t>
      </w:r>
      <w:r>
        <w:rPr>
          <w:rFonts w:hint="eastAsia" w:ascii="Times New Roman" w:hAnsi="Times New Roman" w:eastAsia="宋体" w:cs="Times New Roman"/>
          <w:color w:val="auto"/>
          <w:highlight w:val="none"/>
          <w:lang w:val="en-US" w:eastAsia="zh-CN"/>
        </w:rPr>
        <w:t>防腐蚀等级应满足</w:t>
      </w:r>
      <w:r>
        <w:rPr>
          <w:rFonts w:hint="eastAsia" w:ascii="Times New Roman" w:hAnsi="Times New Roman" w:eastAsia="宋体" w:cs="Times New Roman"/>
          <w:color w:val="auto"/>
          <w:highlight w:val="none"/>
        </w:rPr>
        <w:t>‌</w:t>
      </w:r>
      <w:r>
        <w:rPr>
          <w:rFonts w:hint="default" w:ascii="Times New Roman" w:hAnsi="Times New Roman" w:eastAsia="宋体" w:cs="Times New Roman"/>
          <w:color w:val="auto"/>
          <w:highlight w:val="none"/>
        </w:rPr>
        <w:t>C3级</w:t>
      </w:r>
      <w:r>
        <w:rPr>
          <w:rFonts w:hint="eastAsia" w:ascii="Times New Roman" w:hAnsi="Times New Roman" w:eastAsia="宋体" w:cs="Times New Roman"/>
          <w:color w:val="auto"/>
          <w:highlight w:val="none"/>
          <w:lang w:val="en-US" w:eastAsia="zh-CN"/>
        </w:rPr>
        <w:t>要求</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高湿度和近海区域</w:t>
      </w:r>
      <w:r>
        <w:rPr>
          <w:rFonts w:hint="eastAsia" w:cs="Times New Roman"/>
          <w:color w:val="auto"/>
          <w:highlight w:val="none"/>
          <w:lang w:val="en-US" w:eastAsia="zh-CN"/>
        </w:rPr>
        <w:t>应</w:t>
      </w:r>
      <w:r>
        <w:rPr>
          <w:rFonts w:hint="eastAsia" w:ascii="Times New Roman" w:hAnsi="Times New Roman" w:eastAsia="宋体" w:cs="Times New Roman"/>
          <w:color w:val="auto"/>
          <w:highlight w:val="none"/>
          <w:lang w:val="en-US" w:eastAsia="zh-CN"/>
        </w:rPr>
        <w:t>达到</w:t>
      </w:r>
      <w:r>
        <w:rPr>
          <w:rFonts w:hint="default" w:ascii="Times New Roman" w:hAnsi="Times New Roman" w:eastAsia="宋体" w:cs="Times New Roman"/>
          <w:color w:val="auto"/>
          <w:highlight w:val="none"/>
        </w:rPr>
        <w:t>‌C4级</w:t>
      </w:r>
      <w:r>
        <w:rPr>
          <w:rFonts w:hint="eastAsia" w:ascii="Times New Roman" w:hAnsi="Times New Roman" w:eastAsia="宋体" w:cs="Times New Roman"/>
          <w:color w:val="auto"/>
          <w:highlight w:val="none"/>
          <w:lang w:eastAsia="zh-CN"/>
        </w:rPr>
        <w:t>。</w:t>
      </w:r>
    </w:p>
    <w:p w14:paraId="03E4C485">
      <w:pPr>
        <w:ind w:firstLine="482" w:firstLineChars="200"/>
        <w:rPr>
          <w:rFonts w:hint="eastAsia" w:ascii="Times New Roman" w:hAnsi="Times New Roman" w:eastAsia="宋体" w:cs="Times New Roman"/>
          <w:highlight w:val="none"/>
          <w:lang w:val="en-US" w:eastAsia="zh-CN"/>
        </w:rPr>
      </w:pPr>
      <w:r>
        <w:rPr>
          <w:rFonts w:hint="eastAsia" w:cs="Times New Roman"/>
          <w:b/>
          <w:bCs/>
          <w:highlight w:val="none"/>
          <w:lang w:val="en-US" w:eastAsia="zh-CN"/>
        </w:rPr>
        <w:t>3</w:t>
      </w:r>
      <w:r>
        <w:rPr>
          <w:rFonts w:hint="eastAsia" w:cs="Times New Roman"/>
          <w:highlight w:val="none"/>
          <w:lang w:val="en-US" w:eastAsia="zh-CN"/>
        </w:rPr>
        <w:t xml:space="preserve">  </w:t>
      </w:r>
      <w:r>
        <w:rPr>
          <w:rFonts w:hint="eastAsia" w:ascii="Times New Roman" w:hAnsi="Times New Roman" w:eastAsia="宋体" w:cs="Times New Roman"/>
          <w:highlight w:val="none"/>
          <w:lang w:val="en-US" w:eastAsia="zh-CN"/>
        </w:rPr>
        <w:t>集成平台</w:t>
      </w:r>
      <w:r>
        <w:rPr>
          <w:rFonts w:hint="eastAsia" w:cs="Times New Roman"/>
          <w:highlight w:val="none"/>
          <w:lang w:val="en-US" w:eastAsia="zh-CN"/>
        </w:rPr>
        <w:t>宜进行抗震设计，</w:t>
      </w:r>
      <w:r>
        <w:rPr>
          <w:rFonts w:hint="eastAsia" w:ascii="Times New Roman" w:hAnsi="Times New Roman" w:eastAsia="宋体" w:cs="Times New Roman"/>
          <w:highlight w:val="none"/>
          <w:lang w:val="en-US" w:eastAsia="zh-CN"/>
        </w:rPr>
        <w:t>抗震设防</w:t>
      </w:r>
      <w:r>
        <w:rPr>
          <w:rFonts w:hint="eastAsia" w:cs="Times New Roman"/>
          <w:highlight w:val="none"/>
          <w:lang w:val="en-US" w:eastAsia="zh-CN"/>
        </w:rPr>
        <w:t>烈度应按照项目所处地区选用，抗震设防类别按照标准设防类（丙类）</w:t>
      </w:r>
      <w:r>
        <w:rPr>
          <w:rFonts w:hint="eastAsia" w:ascii="Times New Roman" w:hAnsi="Times New Roman" w:eastAsia="宋体" w:cs="Times New Roman"/>
          <w:highlight w:val="none"/>
          <w:lang w:val="en-US" w:eastAsia="zh-CN"/>
        </w:rPr>
        <w:t>。</w:t>
      </w:r>
    </w:p>
    <w:p w14:paraId="7933D1C9">
      <w:pPr>
        <w:pStyle w:val="73"/>
        <w:numPr>
          <w:ilvl w:val="0"/>
          <w:numId w:val="0"/>
        </w:numPr>
        <w:ind w:leftChars="200"/>
        <w:rPr>
          <w:rFonts w:hint="eastAsia"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b/>
          <w:bCs/>
          <w:kern w:val="2"/>
          <w:sz w:val="24"/>
          <w:szCs w:val="24"/>
          <w:highlight w:val="none"/>
          <w:lang w:val="en-US" w:eastAsia="zh-CN" w:bidi="ar-SA"/>
        </w:rPr>
        <w:t>4</w:t>
      </w:r>
      <w:r>
        <w:rPr>
          <w:rFonts w:hint="eastAsia" w:ascii="Times New Roman" w:hAnsi="Times New Roman" w:eastAsia="宋体" w:cs="Times New Roman"/>
          <w:kern w:val="2"/>
          <w:sz w:val="24"/>
          <w:szCs w:val="24"/>
          <w:highlight w:val="none"/>
          <w:lang w:val="en-US" w:eastAsia="zh-CN" w:bidi="ar-SA"/>
        </w:rPr>
        <w:t xml:space="preserve">  集成平台的工作环境温度-30℃~+50℃，相对湿度不大于90%（不凝露）；</w:t>
      </w:r>
    </w:p>
    <w:p w14:paraId="6905B24B">
      <w:pPr>
        <w:rPr>
          <w:rFonts w:hint="default" w:eastAsia="宋体"/>
          <w:highlight w:val="none"/>
          <w:lang w:val="en-US" w:eastAsia="zh-CN"/>
        </w:rPr>
      </w:pPr>
      <w:r>
        <w:rPr>
          <w:b/>
          <w:bCs/>
          <w:highlight w:val="none"/>
        </w:rPr>
        <w:t>3.</w:t>
      </w:r>
      <w:r>
        <w:rPr>
          <w:rFonts w:hint="eastAsia"/>
          <w:b/>
          <w:bCs/>
          <w:highlight w:val="none"/>
        </w:rPr>
        <w:t>0</w:t>
      </w:r>
      <w:r>
        <w:rPr>
          <w:b/>
          <w:bCs/>
          <w:highlight w:val="none"/>
        </w:rPr>
        <w:t>.</w:t>
      </w:r>
      <w:r>
        <w:rPr>
          <w:rFonts w:hint="eastAsia"/>
          <w:b/>
          <w:bCs/>
          <w:highlight w:val="none"/>
        </w:rPr>
        <w:t>7</w:t>
      </w:r>
      <w:r>
        <w:rPr>
          <w:rFonts w:hint="eastAsia"/>
          <w:highlight w:val="none"/>
        </w:rPr>
        <w:t xml:space="preserve">  </w:t>
      </w:r>
      <w:r>
        <w:rPr>
          <w:rFonts w:hint="eastAsia" w:ascii="Times New Roman" w:hAnsi="Times New Roman" w:eastAsia="宋体" w:cs="Times New Roman"/>
          <w:highlight w:val="none"/>
        </w:rPr>
        <w:t>集成平台</w:t>
      </w:r>
      <w:r>
        <w:rPr>
          <w:rFonts w:hint="eastAsia" w:cs="Times New Roman"/>
          <w:highlight w:val="none"/>
          <w:lang w:val="en-US" w:eastAsia="zh-CN"/>
        </w:rPr>
        <w:t>的</w:t>
      </w:r>
      <w:r>
        <w:rPr>
          <w:rFonts w:hint="eastAsia"/>
          <w:highlight w:val="none"/>
        </w:rPr>
        <w:t>耐久性与设计使用年限</w:t>
      </w:r>
      <w:r>
        <w:rPr>
          <w:rFonts w:hint="eastAsia"/>
          <w:highlight w:val="none"/>
          <w:lang w:val="en-US" w:eastAsia="zh-CN"/>
        </w:rPr>
        <w:t>应满足以下要求：</w:t>
      </w:r>
    </w:p>
    <w:p w14:paraId="2FC40E7A">
      <w:pPr>
        <w:ind w:firstLine="482" w:firstLineChars="200"/>
        <w:rPr>
          <w:rFonts w:hint="default" w:cs="Times New Roman"/>
          <w:strike w:val="0"/>
          <w:dstrike w:val="0"/>
          <w:highlight w:val="none"/>
          <w:lang w:val="en-US" w:eastAsia="zh-CN"/>
        </w:rPr>
      </w:pPr>
      <w:r>
        <w:rPr>
          <w:rFonts w:hint="eastAsia" w:cs="Times New Roman"/>
          <w:b/>
          <w:bCs/>
          <w:strike w:val="0"/>
          <w:dstrike w:val="0"/>
          <w:highlight w:val="none"/>
          <w:lang w:val="en-US" w:eastAsia="zh-CN"/>
        </w:rPr>
        <w:t>1</w:t>
      </w:r>
      <w:r>
        <w:rPr>
          <w:rFonts w:hint="eastAsia" w:cs="Times New Roman"/>
          <w:strike w:val="0"/>
          <w:dstrike w:val="0"/>
          <w:highlight w:val="none"/>
          <w:lang w:val="en-US" w:eastAsia="zh-CN"/>
        </w:rPr>
        <w:t xml:space="preserve">  </w:t>
      </w:r>
      <w:r>
        <w:rPr>
          <w:rFonts w:hint="eastAsia" w:ascii="Times New Roman" w:hAnsi="Times New Roman" w:eastAsia="宋体" w:cs="Times New Roman"/>
          <w:strike w:val="0"/>
          <w:dstrike w:val="0"/>
          <w:highlight w:val="none"/>
          <w:lang w:val="en-US" w:eastAsia="zh-CN"/>
        </w:rPr>
        <w:t>主体结构设计</w:t>
      </w:r>
      <w:r>
        <w:rPr>
          <w:rFonts w:hint="eastAsia" w:cs="Times New Roman"/>
          <w:strike w:val="0"/>
          <w:dstrike w:val="0"/>
          <w:highlight w:val="none"/>
          <w:lang w:val="en-US" w:eastAsia="zh-CN"/>
        </w:rPr>
        <w:t>满足</w:t>
      </w:r>
      <w:r>
        <w:rPr>
          <w:rFonts w:hint="eastAsia" w:ascii="Times New Roman" w:hAnsi="Times New Roman" w:eastAsia="宋体" w:cs="Times New Roman"/>
          <w:strike w:val="0"/>
          <w:dstrike w:val="0"/>
          <w:highlight w:val="none"/>
          <w:lang w:val="en-US" w:eastAsia="zh-CN"/>
        </w:rPr>
        <w:t>使用年限</w:t>
      </w:r>
      <w:r>
        <w:rPr>
          <w:rFonts w:hint="eastAsia" w:cs="Times New Roman"/>
          <w:strike w:val="0"/>
          <w:dstrike w:val="0"/>
          <w:highlight w:val="none"/>
          <w:lang w:val="en-US" w:eastAsia="zh-CN"/>
        </w:rPr>
        <w:t>；</w:t>
      </w:r>
    </w:p>
    <w:p w14:paraId="77060666">
      <w:pPr>
        <w:ind w:firstLine="482" w:firstLineChars="200"/>
        <w:rPr>
          <w:rFonts w:hint="eastAsia" w:cs="Times New Roman"/>
          <w:highlight w:val="none"/>
          <w:lang w:val="en-US" w:eastAsia="zh-CN"/>
        </w:rPr>
      </w:pPr>
      <w:r>
        <w:rPr>
          <w:rFonts w:hint="eastAsia" w:cs="Times New Roman"/>
          <w:b/>
          <w:bCs/>
          <w:highlight w:val="none"/>
          <w:lang w:val="en-US" w:eastAsia="zh-CN"/>
        </w:rPr>
        <w:t xml:space="preserve">2 </w:t>
      </w:r>
      <w:r>
        <w:rPr>
          <w:rFonts w:hint="eastAsia" w:cs="Times New Roman"/>
          <w:highlight w:val="none"/>
          <w:lang w:val="en-US" w:eastAsia="zh-CN"/>
        </w:rPr>
        <w:t xml:space="preserve"> </w:t>
      </w:r>
      <w:r>
        <w:rPr>
          <w:rFonts w:hint="eastAsia" w:ascii="Times New Roman" w:hAnsi="Times New Roman" w:eastAsia="宋体" w:cs="Times New Roman"/>
          <w:highlight w:val="none"/>
        </w:rPr>
        <w:t>集成平台</w:t>
      </w:r>
      <w:r>
        <w:rPr>
          <w:rFonts w:hint="eastAsia" w:cs="Times New Roman"/>
          <w:highlight w:val="none"/>
          <w:lang w:val="en-US" w:eastAsia="zh-CN"/>
        </w:rPr>
        <w:t>的耐久</w:t>
      </w:r>
      <w:r>
        <w:rPr>
          <w:rFonts w:hint="default" w:ascii="Times New Roman" w:hAnsi="Times New Roman" w:eastAsia="宋体" w:cs="Times New Roman"/>
          <w:highlight w:val="none"/>
          <w:lang w:val="en-US" w:eastAsia="zh-CN"/>
        </w:rPr>
        <w:t>状态</w:t>
      </w:r>
      <w:r>
        <w:rPr>
          <w:rFonts w:hint="eastAsia" w:cs="Times New Roman"/>
          <w:highlight w:val="none"/>
          <w:lang w:val="en-US" w:eastAsia="zh-CN"/>
        </w:rPr>
        <w:t>应进行定期检测和维护，集成平台</w:t>
      </w:r>
      <w:r>
        <w:rPr>
          <w:rFonts w:hint="eastAsia" w:ascii="Times New Roman" w:hAnsi="Times New Roman" w:eastAsia="宋体" w:cs="Times New Roman"/>
          <w:strike w:val="0"/>
          <w:dstrike w:val="0"/>
          <w:highlight w:val="none"/>
          <w:lang w:val="en-US" w:eastAsia="zh-CN"/>
        </w:rPr>
        <w:t>主体结构</w:t>
      </w:r>
      <w:r>
        <w:rPr>
          <w:rFonts w:hint="eastAsia" w:cs="Times New Roman"/>
          <w:strike w:val="0"/>
          <w:dstrike w:val="0"/>
          <w:highlight w:val="none"/>
          <w:lang w:val="en-US" w:eastAsia="zh-CN"/>
        </w:rPr>
        <w:t>和关键机械部件、电气件</w:t>
      </w:r>
      <w:r>
        <w:rPr>
          <w:rFonts w:hint="eastAsia" w:cs="Times New Roman"/>
          <w:highlight w:val="none"/>
          <w:lang w:val="en-US" w:eastAsia="zh-CN"/>
        </w:rPr>
        <w:t>满足要求时可相应延长使用期限；</w:t>
      </w:r>
    </w:p>
    <w:p w14:paraId="3B55BD14">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3</w:t>
      </w:r>
      <w:r>
        <w:rPr>
          <w:rFonts w:hint="eastAsia" w:cs="Times New Roman"/>
          <w:color w:val="auto"/>
          <w:highlight w:val="none"/>
          <w:lang w:val="en-US" w:eastAsia="zh-CN"/>
        </w:rPr>
        <w:t xml:space="preserve">  易损件超出使用寿命或损坏时应更换；</w:t>
      </w:r>
    </w:p>
    <w:p w14:paraId="7DA6568D">
      <w:pPr>
        <w:numPr>
          <w:ilvl w:val="0"/>
          <w:numId w:val="0"/>
        </w:numP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说明：主体结构包括支承系统和钢平台系统；</w:t>
      </w:r>
    </w:p>
    <w:p w14:paraId="1C124446">
      <w:pPr>
        <w:numPr>
          <w:ilvl w:val="0"/>
          <w:numId w:val="0"/>
        </w:numPr>
        <w:ind w:firstLine="630" w:firstLineChars="300"/>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关键部件包括：液压油缸、爬升导轨、液压泵站及同步控制阀组、 </w:t>
      </w:r>
      <w:r>
        <w:rPr>
          <w:rFonts w:hint="default" w:cs="Times New Roman"/>
          <w:color w:val="auto"/>
          <w:sz w:val="21"/>
          <w:szCs w:val="21"/>
          <w:highlight w:val="none"/>
          <w:lang w:val="en-US" w:eastAsia="zh-CN"/>
        </w:rPr>
        <w:t>PLC 控制单元、位移/荷载传感器、电气控制台</w:t>
      </w:r>
      <w:r>
        <w:rPr>
          <w:rFonts w:hint="eastAsia" w:cs="Times New Roman"/>
          <w:color w:val="auto"/>
          <w:sz w:val="21"/>
          <w:szCs w:val="21"/>
          <w:highlight w:val="none"/>
          <w:lang w:val="en-US" w:eastAsia="zh-CN"/>
        </w:rPr>
        <w:t>、液压布料机、防坠装置、电梯系统等。</w:t>
      </w:r>
    </w:p>
    <w:p w14:paraId="418320A9">
      <w:pPr>
        <w:numPr>
          <w:ilvl w:val="0"/>
          <w:numId w:val="0"/>
        </w:numPr>
        <w:ind w:firstLine="630" w:firstLineChars="300"/>
        <w:rPr>
          <w:rFonts w:hint="default" w:eastAsia="宋体" w:cs="Times New Roman"/>
          <w:color w:val="0000FF"/>
          <w:sz w:val="21"/>
          <w:szCs w:val="21"/>
          <w:highlight w:val="none"/>
          <w:lang w:val="en-US" w:eastAsia="zh-CN"/>
        </w:rPr>
      </w:pPr>
      <w:r>
        <w:rPr>
          <w:rFonts w:hint="eastAsia" w:cs="Times New Roman"/>
          <w:color w:val="auto"/>
          <w:sz w:val="21"/>
          <w:szCs w:val="21"/>
          <w:highlight w:val="none"/>
          <w:lang w:val="en-US" w:eastAsia="zh-CN"/>
        </w:rPr>
        <w:t>易损件主要包括：油缸密封圈、液压软管、电磁阀触点、压力传感器、钢销轴及轴承、防坠器摩擦片、导轨滚轮、钢丝绳、链条/链轮、护栏锁销、翻板卡扣、雨篷铰链等。</w:t>
      </w:r>
    </w:p>
    <w:p w14:paraId="166B74BD">
      <w:pPr>
        <w:rPr>
          <w:rFonts w:hint="default" w:ascii="Times New Roman" w:hAnsi="Times New Roman" w:eastAsia="宋体" w:cs="Times New Roman"/>
          <w:b/>
          <w:bCs/>
          <w:lang w:val="en-US" w:eastAsia="zh-CN"/>
        </w:rPr>
      </w:pPr>
      <w:r>
        <w:rPr>
          <w:rFonts w:hint="eastAsia" w:ascii="Times New Roman" w:hAnsi="Times New Roman" w:eastAsia="宋体" w:cs="Times New Roman"/>
          <w:b/>
          <w:bCs/>
          <w:highlight w:val="none"/>
        </w:rPr>
        <w:t>3.0.</w:t>
      </w:r>
      <w:r>
        <w:rPr>
          <w:rFonts w:hint="eastAsia" w:cs="Times New Roman"/>
          <w:b/>
          <w:bCs/>
          <w:highlight w:val="none"/>
          <w:lang w:val="en-US" w:eastAsia="zh-CN"/>
        </w:rPr>
        <w:t xml:space="preserve">8  </w:t>
      </w:r>
      <w:r>
        <w:rPr>
          <w:rFonts w:hint="eastAsia" w:ascii="Times New Roman" w:hAnsi="Times New Roman" w:eastAsia="宋体" w:cs="Times New Roman"/>
          <w:highlight w:val="none"/>
        </w:rPr>
        <w:t>集成</w:t>
      </w:r>
      <w:r>
        <w:rPr>
          <w:rFonts w:hint="eastAsia" w:ascii="Times New Roman" w:hAnsi="Times New Roman" w:eastAsia="宋体" w:cs="Times New Roman"/>
        </w:rPr>
        <w:t>平台</w:t>
      </w:r>
      <w:r>
        <w:rPr>
          <w:rFonts w:hint="eastAsia" w:ascii="Times New Roman" w:hAnsi="Times New Roman" w:eastAsia="宋体" w:cs="Times New Roman"/>
          <w:lang w:val="en-US" w:eastAsia="zh-CN"/>
        </w:rPr>
        <w:t>的</w:t>
      </w:r>
      <w:r>
        <w:rPr>
          <w:rFonts w:hint="eastAsia" w:ascii="Times New Roman" w:hAnsi="Times New Roman" w:eastAsia="宋体" w:cs="Times New Roman"/>
        </w:rPr>
        <w:t>支承系统</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应符合以下规定</w:t>
      </w:r>
    </w:p>
    <w:p w14:paraId="0CDC1F3B">
      <w:pPr>
        <w:ind w:firstLine="482" w:firstLineChars="200"/>
        <w:rPr>
          <w:rFonts w:hint="eastAsia" w:ascii="Times New Roman" w:hAnsi="Times New Roman" w:eastAsia="宋体" w:cs="Times New Roman"/>
        </w:rPr>
      </w:pPr>
      <w:r>
        <w:rPr>
          <w:rFonts w:hint="eastAsia" w:ascii="Times New Roman" w:hAnsi="Times New Roman" w:eastAsia="宋体" w:cs="Times New Roman"/>
          <w:b/>
          <w:bCs/>
        </w:rPr>
        <w:t>1</w:t>
      </w:r>
      <w:r>
        <w:rPr>
          <w:rFonts w:hint="eastAsia" w:ascii="Times New Roman" w:hAnsi="Times New Roman" w:eastAsia="宋体" w:cs="Times New Roman"/>
        </w:rPr>
        <w:t xml:space="preserve"> </w:t>
      </w:r>
      <w:r>
        <w:rPr>
          <w:rFonts w:hint="eastAsia" w:cs="Times New Roman"/>
          <w:lang w:val="en-US" w:eastAsia="zh-CN"/>
        </w:rPr>
        <w:t xml:space="preserve"> </w:t>
      </w:r>
      <w:r>
        <w:rPr>
          <w:rFonts w:hint="eastAsia" w:ascii="Times New Roman" w:hAnsi="Times New Roman" w:eastAsia="宋体" w:cs="Times New Roman"/>
        </w:rPr>
        <w:t>能够承受正常运行与维护期间可能出现的各种作用</w:t>
      </w:r>
      <w:r>
        <w:rPr>
          <w:rFonts w:hint="eastAsia" w:cs="Times New Roman"/>
          <w:lang w:eastAsia="zh-CN"/>
        </w:rPr>
        <w:t>；</w:t>
      </w:r>
    </w:p>
    <w:p w14:paraId="58176906">
      <w:pPr>
        <w:ind w:firstLine="482" w:firstLineChars="200"/>
        <w:rPr>
          <w:rFonts w:hint="eastAsia" w:ascii="Times New Roman" w:hAnsi="Times New Roman" w:eastAsia="宋体" w:cs="Times New Roman"/>
        </w:rPr>
      </w:pPr>
      <w:r>
        <w:rPr>
          <w:rFonts w:hint="eastAsia" w:ascii="Times New Roman" w:hAnsi="Times New Roman" w:eastAsia="宋体" w:cs="Times New Roman"/>
          <w:b/>
          <w:bCs/>
          <w:lang w:val="en-US" w:eastAsia="zh-CN"/>
        </w:rPr>
        <w:t>2</w:t>
      </w:r>
      <w:r>
        <w:rPr>
          <w:rFonts w:hint="eastAsia" w:ascii="Times New Roman" w:hAnsi="Times New Roman" w:eastAsia="宋体" w:cs="Times New Roman"/>
          <w:lang w:val="en-US" w:eastAsia="zh-CN"/>
        </w:rPr>
        <w:t xml:space="preserve"> </w:t>
      </w:r>
      <w:r>
        <w:rPr>
          <w:rFonts w:hint="eastAsia" w:cs="Times New Roman"/>
          <w:lang w:val="en-US" w:eastAsia="zh-CN"/>
        </w:rPr>
        <w:t xml:space="preserve"> </w:t>
      </w:r>
      <w:r>
        <w:rPr>
          <w:rFonts w:hint="eastAsia" w:ascii="Times New Roman" w:hAnsi="Times New Roman" w:eastAsia="宋体" w:cs="Times New Roman"/>
        </w:rPr>
        <w:t>支承架的形状、尺寸应满足支承立柱和顶升油缸的连接及传力要求。</w:t>
      </w:r>
    </w:p>
    <w:p w14:paraId="2EB42F61">
      <w:pPr>
        <w:rPr>
          <w:rFonts w:hint="eastAsia" w:ascii="Times New Roman" w:hAnsi="Times New Roman" w:eastAsia="宋体" w:cs="Times New Roman"/>
          <w:b/>
          <w:bCs/>
          <w:lang w:eastAsia="zh-CN"/>
        </w:rPr>
      </w:pPr>
      <w:r>
        <w:rPr>
          <w:rFonts w:hint="eastAsia" w:ascii="Times New Roman" w:hAnsi="Times New Roman" w:eastAsia="宋体" w:cs="Times New Roman"/>
          <w:b/>
          <w:bCs/>
        </w:rPr>
        <w:t>3.0.</w:t>
      </w:r>
      <w:r>
        <w:rPr>
          <w:rFonts w:hint="eastAsia" w:cs="Times New Roman"/>
          <w:b/>
          <w:bCs/>
          <w:lang w:val="en-US" w:eastAsia="zh-CN"/>
        </w:rPr>
        <w:t>9</w:t>
      </w:r>
      <w:r>
        <w:rPr>
          <w:rFonts w:hint="eastAsia" w:ascii="Times New Roman" w:hAnsi="Times New Roman" w:eastAsia="宋体" w:cs="Times New Roman"/>
          <w:b/>
          <w:bCs/>
        </w:rPr>
        <w:t xml:space="preserve"> </w:t>
      </w:r>
      <w:r>
        <w:rPr>
          <w:rFonts w:hint="eastAsia" w:ascii="Times New Roman" w:hAnsi="Times New Roman" w:eastAsia="宋体" w:cs="Times New Roman"/>
        </w:rPr>
        <w:t>集成平台的</w:t>
      </w:r>
      <w:r>
        <w:rPr>
          <w:rFonts w:hint="eastAsia" w:cs="Times New Roman"/>
          <w:lang w:val="en-US" w:eastAsia="zh-CN"/>
        </w:rPr>
        <w:t>钢平台</w:t>
      </w:r>
      <w:r>
        <w:rPr>
          <w:rFonts w:hint="eastAsia" w:ascii="Times New Roman" w:hAnsi="Times New Roman" w:eastAsia="宋体" w:cs="Times New Roman"/>
        </w:rPr>
        <w:t>系统，应符合下列规定</w:t>
      </w:r>
      <w:r>
        <w:rPr>
          <w:rFonts w:hint="eastAsia" w:cs="Times New Roman"/>
          <w:lang w:eastAsia="zh-CN"/>
        </w:rPr>
        <w:t>：</w:t>
      </w:r>
    </w:p>
    <w:p w14:paraId="669CC6DA">
      <w:pPr>
        <w:ind w:firstLine="482" w:firstLineChars="200"/>
        <w:rPr>
          <w:rFonts w:hint="eastAsia" w:ascii="Times New Roman" w:hAnsi="Times New Roman" w:eastAsia="宋体" w:cs="Times New Roman"/>
          <w:lang w:eastAsia="zh-CN"/>
        </w:rPr>
      </w:pPr>
      <w:r>
        <w:rPr>
          <w:rFonts w:hint="eastAsia" w:ascii="Times New Roman" w:hAnsi="Times New Roman" w:eastAsia="宋体" w:cs="Times New Roman"/>
          <w:b/>
          <w:bCs/>
        </w:rPr>
        <w:t>1</w:t>
      </w:r>
      <w:r>
        <w:rPr>
          <w:rFonts w:hint="eastAsia" w:ascii="Times New Roman" w:hAnsi="Times New Roman" w:eastAsia="宋体" w:cs="Times New Roman"/>
        </w:rPr>
        <w:t xml:space="preserve"> </w:t>
      </w:r>
      <w:r>
        <w:rPr>
          <w:rFonts w:hint="eastAsia" w:cs="Times New Roman"/>
          <w:lang w:val="en-US" w:eastAsia="zh-CN"/>
        </w:rPr>
        <w:t xml:space="preserve"> </w:t>
      </w:r>
      <w:r>
        <w:rPr>
          <w:rFonts w:hint="eastAsia" w:ascii="Times New Roman" w:hAnsi="Times New Roman" w:eastAsia="宋体" w:cs="Times New Roman"/>
        </w:rPr>
        <w:t>当</w:t>
      </w:r>
      <w:r>
        <w:rPr>
          <w:rFonts w:hint="eastAsia" w:cs="Times New Roman"/>
          <w:lang w:val="en-US" w:eastAsia="zh-CN"/>
        </w:rPr>
        <w:t>钢平台</w:t>
      </w:r>
      <w:r>
        <w:rPr>
          <w:rFonts w:hint="eastAsia" w:ascii="Times New Roman" w:hAnsi="Times New Roman" w:eastAsia="宋体" w:cs="Times New Roman"/>
        </w:rPr>
        <w:t>系统局部调整时，其他部分应仍能保持原有的形状和承载力</w:t>
      </w:r>
      <w:r>
        <w:rPr>
          <w:rFonts w:hint="eastAsia" w:cs="Times New Roman"/>
          <w:lang w:eastAsia="zh-CN"/>
        </w:rPr>
        <w:t>；</w:t>
      </w:r>
    </w:p>
    <w:p w14:paraId="550521D6">
      <w:pPr>
        <w:ind w:firstLine="482" w:firstLineChars="200"/>
        <w:rPr>
          <w:rFonts w:hint="eastAsia" w:ascii="Times New Roman" w:hAnsi="Times New Roman" w:eastAsia="宋体" w:cs="Times New Roman"/>
          <w:lang w:eastAsia="zh-CN"/>
        </w:rPr>
      </w:pPr>
      <w:r>
        <w:rPr>
          <w:rFonts w:hint="eastAsia" w:ascii="Times New Roman" w:hAnsi="Times New Roman" w:eastAsia="宋体" w:cs="Times New Roman"/>
          <w:b/>
          <w:bCs/>
        </w:rPr>
        <w:t>2</w:t>
      </w:r>
      <w:r>
        <w:rPr>
          <w:rFonts w:hint="eastAsia" w:ascii="Times New Roman" w:hAnsi="Times New Roman" w:eastAsia="宋体" w:cs="Times New Roman"/>
        </w:rPr>
        <w:t xml:space="preserve"> </w:t>
      </w:r>
      <w:r>
        <w:rPr>
          <w:rFonts w:hint="eastAsia" w:cs="Times New Roman"/>
          <w:lang w:val="en-US" w:eastAsia="zh-CN"/>
        </w:rPr>
        <w:t xml:space="preserve"> </w:t>
      </w:r>
      <w:r>
        <w:rPr>
          <w:rFonts w:hint="eastAsia" w:ascii="Times New Roman" w:hAnsi="Times New Roman" w:eastAsia="宋体" w:cs="Times New Roman"/>
        </w:rPr>
        <w:t>当单个支点发生液压油缸损坏、液压油泄露等液压油缸失效、无法承载的情况时，</w:t>
      </w:r>
      <w:r>
        <w:rPr>
          <w:rFonts w:hint="eastAsia" w:cs="Times New Roman"/>
          <w:lang w:val="en-US" w:eastAsia="zh-CN"/>
        </w:rPr>
        <w:t>钢平台</w:t>
      </w:r>
      <w:r>
        <w:rPr>
          <w:rFonts w:hint="eastAsia" w:ascii="Times New Roman" w:hAnsi="Times New Roman" w:eastAsia="宋体" w:cs="Times New Roman"/>
        </w:rPr>
        <w:t>系统不应有过大的变形、不可修复的损坏或发生倾覆</w:t>
      </w:r>
      <w:r>
        <w:rPr>
          <w:rFonts w:hint="eastAsia" w:cs="Times New Roman"/>
          <w:lang w:eastAsia="zh-CN"/>
        </w:rPr>
        <w:t>；</w:t>
      </w:r>
    </w:p>
    <w:p w14:paraId="4F510073">
      <w:pPr>
        <w:ind w:firstLine="482" w:firstLineChars="200"/>
        <w:rPr>
          <w:rFonts w:hint="eastAsia" w:ascii="Times New Roman" w:hAnsi="Times New Roman" w:eastAsia="宋体" w:cs="Times New Roman"/>
          <w:lang w:val="en-US" w:eastAsia="zh-CN"/>
        </w:rPr>
      </w:pPr>
      <w:r>
        <w:rPr>
          <w:rFonts w:hint="eastAsia" w:ascii="Times New Roman" w:hAnsi="Times New Roman" w:eastAsia="宋体" w:cs="Times New Roman"/>
          <w:b/>
          <w:bCs/>
        </w:rPr>
        <w:t>3</w:t>
      </w:r>
      <w:r>
        <w:rPr>
          <w:rFonts w:hint="eastAsia" w:ascii="Times New Roman" w:hAnsi="Times New Roman" w:eastAsia="宋体" w:cs="Times New Roman"/>
        </w:rPr>
        <w:t xml:space="preserve"> </w:t>
      </w:r>
      <w:r>
        <w:rPr>
          <w:rFonts w:hint="eastAsia" w:cs="Times New Roman"/>
          <w:lang w:val="en-US" w:eastAsia="zh-CN"/>
        </w:rPr>
        <w:t xml:space="preserve"> </w:t>
      </w:r>
      <w:r>
        <w:rPr>
          <w:rFonts w:hint="eastAsia" w:ascii="Times New Roman" w:hAnsi="Times New Roman" w:eastAsia="宋体" w:cs="Times New Roman"/>
        </w:rPr>
        <w:t>杆件布置位置应能满足挂架、模板的悬挂需求和集成设备设施的安置需求</w:t>
      </w:r>
      <w:r>
        <w:rPr>
          <w:rFonts w:hint="eastAsia" w:cs="Times New Roman"/>
          <w:lang w:val="en-US" w:eastAsia="zh-CN"/>
        </w:rPr>
        <w:t>。</w:t>
      </w:r>
    </w:p>
    <w:p w14:paraId="1C44F407">
      <w:pPr>
        <w:rPr>
          <w:rFonts w:hint="eastAsia" w:ascii="Times New Roman" w:hAnsi="Times New Roman" w:eastAsia="宋体" w:cs="Times New Roman"/>
        </w:rPr>
      </w:pPr>
      <w:r>
        <w:rPr>
          <w:rFonts w:hint="eastAsia" w:ascii="Times New Roman" w:hAnsi="Times New Roman" w:eastAsia="宋体" w:cs="Times New Roman"/>
          <w:b/>
          <w:bCs/>
        </w:rPr>
        <w:t>3.0.</w:t>
      </w:r>
      <w:r>
        <w:rPr>
          <w:rFonts w:hint="eastAsia" w:ascii="Times New Roman" w:hAnsi="Times New Roman" w:eastAsia="宋体" w:cs="Times New Roman"/>
          <w:b/>
          <w:bCs/>
          <w:lang w:val="en-US" w:eastAsia="zh-CN"/>
        </w:rPr>
        <w:t>1</w:t>
      </w:r>
      <w:r>
        <w:rPr>
          <w:rFonts w:hint="eastAsia" w:cs="Times New Roman"/>
          <w:b/>
          <w:bCs/>
          <w:lang w:val="en-US" w:eastAsia="zh-CN"/>
        </w:rPr>
        <w:t xml:space="preserve">0  </w:t>
      </w:r>
      <w:r>
        <w:rPr>
          <w:rFonts w:hint="eastAsia" w:ascii="Times New Roman" w:hAnsi="Times New Roman" w:eastAsia="宋体" w:cs="Times New Roman"/>
        </w:rPr>
        <w:t>集成平台的动力系统发生失效或故障时，不应对施工人员造成伤害和对集</w:t>
      </w:r>
    </w:p>
    <w:p w14:paraId="543688D9">
      <w:pPr>
        <w:rPr>
          <w:rFonts w:hint="eastAsia" w:ascii="Times New Roman" w:hAnsi="Times New Roman" w:eastAsia="宋体" w:cs="Times New Roman"/>
        </w:rPr>
      </w:pPr>
      <w:r>
        <w:rPr>
          <w:rFonts w:hint="eastAsia" w:ascii="Times New Roman" w:hAnsi="Times New Roman" w:eastAsia="宋体" w:cs="Times New Roman"/>
        </w:rPr>
        <w:t>成平台带来不可逆的损坏。</w:t>
      </w:r>
    </w:p>
    <w:p w14:paraId="34B46A9D">
      <w:pPr>
        <w:rPr>
          <w:rFonts w:hint="eastAsia" w:ascii="Times New Roman" w:hAnsi="Times New Roman" w:eastAsia="宋体" w:cs="Times New Roman"/>
        </w:rPr>
      </w:pPr>
      <w:r>
        <w:rPr>
          <w:rFonts w:hint="eastAsia" w:ascii="Times New Roman" w:hAnsi="Times New Roman" w:eastAsia="宋体" w:cs="Times New Roman"/>
          <w:b/>
          <w:bCs/>
        </w:rPr>
        <w:t>3.0.</w:t>
      </w:r>
      <w:r>
        <w:rPr>
          <w:rFonts w:hint="eastAsia" w:ascii="Times New Roman" w:hAnsi="Times New Roman" w:eastAsia="宋体" w:cs="Times New Roman"/>
          <w:b/>
          <w:bCs/>
          <w:lang w:val="en-US" w:eastAsia="zh-CN"/>
        </w:rPr>
        <w:t>1</w:t>
      </w:r>
      <w:r>
        <w:rPr>
          <w:rFonts w:hint="eastAsia" w:cs="Times New Roman"/>
          <w:b/>
          <w:bCs/>
          <w:lang w:val="en-US" w:eastAsia="zh-CN"/>
        </w:rPr>
        <w:t>1</w:t>
      </w:r>
      <w:r>
        <w:rPr>
          <w:rFonts w:hint="eastAsia" w:ascii="Times New Roman" w:hAnsi="Times New Roman" w:eastAsia="宋体" w:cs="Times New Roman"/>
          <w:b/>
          <w:bCs/>
        </w:rPr>
        <w:t xml:space="preserve"> </w:t>
      </w:r>
      <w:r>
        <w:rPr>
          <w:rFonts w:hint="eastAsia" w:cs="Times New Roman"/>
          <w:b/>
          <w:bCs/>
          <w:lang w:val="en-US" w:eastAsia="zh-CN"/>
        </w:rPr>
        <w:t xml:space="preserve"> </w:t>
      </w:r>
      <w:r>
        <w:rPr>
          <w:rFonts w:hint="eastAsia" w:ascii="Times New Roman" w:hAnsi="Times New Roman" w:eastAsia="宋体" w:cs="Times New Roman"/>
          <w:b w:val="0"/>
          <w:bCs w:val="0"/>
        </w:rPr>
        <w:t>集</w:t>
      </w:r>
      <w:r>
        <w:rPr>
          <w:rFonts w:hint="eastAsia" w:ascii="Times New Roman" w:hAnsi="Times New Roman" w:eastAsia="宋体" w:cs="Times New Roman"/>
        </w:rPr>
        <w:t>成平台的挂架系统，应符合下列规定</w:t>
      </w:r>
      <w:r>
        <w:rPr>
          <w:rFonts w:hint="eastAsia" w:cs="Times New Roman"/>
          <w:lang w:eastAsia="zh-CN"/>
        </w:rPr>
        <w:t>：</w:t>
      </w:r>
    </w:p>
    <w:p w14:paraId="70A4DD13">
      <w:pPr>
        <w:ind w:firstLine="482" w:firstLineChars="200"/>
        <w:rPr>
          <w:rFonts w:hint="eastAsia" w:ascii="Times New Roman" w:hAnsi="Times New Roman" w:eastAsia="宋体" w:cs="Times New Roman"/>
        </w:rPr>
      </w:pPr>
      <w:r>
        <w:rPr>
          <w:rFonts w:hint="eastAsia" w:ascii="Times New Roman" w:hAnsi="Times New Roman" w:eastAsia="宋体" w:cs="Times New Roman"/>
          <w:b/>
          <w:bCs/>
        </w:rPr>
        <w:t>1</w:t>
      </w:r>
      <w:r>
        <w:rPr>
          <w:rFonts w:hint="eastAsia" w:cs="Times New Roman"/>
          <w:lang w:val="en-US" w:eastAsia="zh-CN"/>
        </w:rPr>
        <w:t xml:space="preserve">  </w:t>
      </w:r>
      <w:r>
        <w:rPr>
          <w:rFonts w:hint="eastAsia" w:ascii="Times New Roman" w:hAnsi="Times New Roman" w:eastAsia="宋体" w:cs="Times New Roman"/>
        </w:rPr>
        <w:t>在设计、安装、运行、拆除时均应考虑正、负风压对挂架的作用</w:t>
      </w:r>
      <w:r>
        <w:rPr>
          <w:rFonts w:hint="eastAsia" w:cs="Times New Roman"/>
          <w:lang w:eastAsia="zh-CN"/>
        </w:rPr>
        <w:t>；</w:t>
      </w:r>
    </w:p>
    <w:p w14:paraId="0C95500E">
      <w:pPr>
        <w:ind w:firstLine="482" w:firstLineChars="200"/>
        <w:rPr>
          <w:rFonts w:hint="eastAsia" w:ascii="Times New Roman" w:hAnsi="Times New Roman" w:eastAsia="宋体" w:cs="Times New Roman"/>
        </w:rPr>
      </w:pPr>
      <w:r>
        <w:rPr>
          <w:rFonts w:hint="eastAsia" w:ascii="Times New Roman" w:hAnsi="Times New Roman" w:eastAsia="宋体" w:cs="Times New Roman"/>
          <w:b/>
          <w:bCs/>
          <w:lang w:val="en-US" w:eastAsia="zh-CN"/>
        </w:rPr>
        <w:t>2</w:t>
      </w:r>
      <w:r>
        <w:rPr>
          <w:rFonts w:hint="eastAsia" w:cs="Times New Roman"/>
          <w:lang w:val="en-US" w:eastAsia="zh-CN"/>
        </w:rPr>
        <w:t xml:space="preserve">  </w:t>
      </w:r>
      <w:r>
        <w:rPr>
          <w:rFonts w:hint="eastAsia" w:ascii="Times New Roman" w:hAnsi="Times New Roman" w:eastAsia="宋体" w:cs="Times New Roman"/>
        </w:rPr>
        <w:t>在正常使用时，不应产生影响施工人员操作的变形、晃动</w:t>
      </w:r>
      <w:r>
        <w:rPr>
          <w:rFonts w:hint="eastAsia" w:cs="Times New Roman"/>
          <w:lang w:eastAsia="zh-CN"/>
        </w:rPr>
        <w:t>；</w:t>
      </w:r>
    </w:p>
    <w:p w14:paraId="137358E3">
      <w:pPr>
        <w:ind w:firstLine="482" w:firstLineChars="200"/>
        <w:rPr>
          <w:rFonts w:hint="eastAsia" w:ascii="Times New Roman" w:hAnsi="Times New Roman" w:eastAsia="宋体" w:cs="Times New Roman"/>
        </w:rPr>
      </w:pPr>
      <w:r>
        <w:rPr>
          <w:rFonts w:hint="eastAsia" w:ascii="Times New Roman" w:hAnsi="Times New Roman" w:eastAsia="宋体" w:cs="Times New Roman"/>
          <w:b/>
          <w:bCs/>
          <w:lang w:val="en-US" w:eastAsia="zh-CN"/>
        </w:rPr>
        <w:t>3</w:t>
      </w:r>
      <w:r>
        <w:rPr>
          <w:rFonts w:hint="eastAsia" w:ascii="Times New Roman" w:hAnsi="Times New Roman" w:eastAsia="宋体" w:cs="Times New Roman"/>
          <w:lang w:val="en-US" w:eastAsia="zh-CN"/>
        </w:rPr>
        <w:t xml:space="preserve"> </w:t>
      </w:r>
      <w:r>
        <w:rPr>
          <w:rFonts w:hint="eastAsia" w:cs="Times New Roman"/>
          <w:lang w:val="en-US" w:eastAsia="zh-CN"/>
        </w:rPr>
        <w:t xml:space="preserve"> </w:t>
      </w:r>
      <w:r>
        <w:rPr>
          <w:rFonts w:hint="eastAsia" w:ascii="Times New Roman" w:hAnsi="Times New Roman" w:eastAsia="宋体" w:cs="Times New Roman"/>
        </w:rPr>
        <w:t>挂架和已施工的水平结构之间应具有应急逃生通道。</w:t>
      </w:r>
    </w:p>
    <w:p w14:paraId="2C34AD79">
      <w:pPr>
        <w:rPr>
          <w:rFonts w:hint="eastAsia" w:ascii="Times New Roman" w:hAnsi="Times New Roman" w:eastAsia="宋体" w:cs="Times New Roman"/>
          <w:b/>
          <w:bCs/>
        </w:rPr>
      </w:pPr>
      <w:r>
        <w:rPr>
          <w:rFonts w:hint="eastAsia" w:ascii="Times New Roman" w:hAnsi="Times New Roman" w:eastAsia="宋体" w:cs="Times New Roman"/>
          <w:b/>
          <w:bCs/>
        </w:rPr>
        <w:t>3.0.</w:t>
      </w:r>
      <w:r>
        <w:rPr>
          <w:rFonts w:hint="eastAsia" w:ascii="Times New Roman" w:hAnsi="Times New Roman" w:eastAsia="宋体" w:cs="Times New Roman"/>
          <w:b/>
          <w:bCs/>
          <w:lang w:val="en-US" w:eastAsia="zh-CN"/>
        </w:rPr>
        <w:t>1</w:t>
      </w:r>
      <w:r>
        <w:rPr>
          <w:rFonts w:hint="eastAsia" w:cs="Times New Roman"/>
          <w:b/>
          <w:bCs/>
          <w:lang w:val="en-US" w:eastAsia="zh-CN"/>
        </w:rPr>
        <w:t>2</w:t>
      </w:r>
      <w:r>
        <w:rPr>
          <w:rFonts w:hint="eastAsia" w:ascii="Times New Roman" w:hAnsi="Times New Roman" w:eastAsia="宋体" w:cs="Times New Roman"/>
          <w:b/>
          <w:bCs/>
        </w:rPr>
        <w:t xml:space="preserve"> </w:t>
      </w:r>
      <w:r>
        <w:rPr>
          <w:rFonts w:hint="eastAsia" w:cs="Times New Roman"/>
          <w:b/>
          <w:bCs/>
          <w:lang w:val="en-US" w:eastAsia="zh-CN"/>
        </w:rPr>
        <w:t xml:space="preserve"> </w:t>
      </w:r>
      <w:r>
        <w:rPr>
          <w:rFonts w:hint="eastAsia" w:ascii="Times New Roman" w:hAnsi="Times New Roman" w:eastAsia="宋体" w:cs="Times New Roman"/>
        </w:rPr>
        <w:t>集成平台的监测系统，应符合下列规定</w:t>
      </w:r>
      <w:r>
        <w:rPr>
          <w:rFonts w:hint="eastAsia" w:cs="Times New Roman"/>
          <w:lang w:eastAsia="zh-CN"/>
        </w:rPr>
        <w:t>：</w:t>
      </w:r>
    </w:p>
    <w:p w14:paraId="60AB91D4">
      <w:pPr>
        <w:ind w:firstLine="482" w:firstLineChars="200"/>
        <w:rPr>
          <w:rFonts w:hint="eastAsia" w:ascii="Times New Roman" w:hAnsi="Times New Roman" w:eastAsia="宋体" w:cs="Times New Roman"/>
        </w:rPr>
      </w:pPr>
      <w:r>
        <w:rPr>
          <w:rFonts w:hint="eastAsia" w:ascii="Times New Roman" w:hAnsi="Times New Roman" w:eastAsia="宋体" w:cs="Times New Roman"/>
          <w:b/>
          <w:bCs/>
        </w:rPr>
        <w:t>1</w:t>
      </w:r>
      <w:r>
        <w:rPr>
          <w:rFonts w:hint="eastAsia" w:ascii="Times New Roman" w:hAnsi="Times New Roman" w:eastAsia="宋体" w:cs="Times New Roman"/>
        </w:rPr>
        <w:t xml:space="preserve"> </w:t>
      </w:r>
      <w:r>
        <w:rPr>
          <w:rFonts w:hint="eastAsia" w:cs="Times New Roman"/>
          <w:lang w:val="en-US" w:eastAsia="zh-CN"/>
        </w:rPr>
        <w:t xml:space="preserve"> </w:t>
      </w:r>
      <w:r>
        <w:rPr>
          <w:rFonts w:hint="eastAsia" w:ascii="Times New Roman" w:hAnsi="Times New Roman" w:eastAsia="宋体" w:cs="Times New Roman"/>
        </w:rPr>
        <w:t>应具备监测数据采集、分析、处理、展示和超限预警等功能</w:t>
      </w:r>
      <w:r>
        <w:rPr>
          <w:rFonts w:hint="eastAsia" w:cs="Times New Roman"/>
          <w:lang w:eastAsia="zh-CN"/>
        </w:rPr>
        <w:t>：</w:t>
      </w:r>
    </w:p>
    <w:p w14:paraId="23129E06">
      <w:pPr>
        <w:ind w:firstLine="482" w:firstLineChars="200"/>
        <w:rPr>
          <w:rFonts w:hint="eastAsia" w:ascii="Times New Roman" w:hAnsi="Times New Roman" w:eastAsia="宋体" w:cs="Times New Roman"/>
        </w:rPr>
      </w:pPr>
      <w:r>
        <w:rPr>
          <w:rFonts w:hint="eastAsia" w:ascii="Times New Roman" w:hAnsi="Times New Roman" w:eastAsia="宋体" w:cs="Times New Roman"/>
          <w:b/>
          <w:bCs/>
          <w:lang w:val="en-US" w:eastAsia="zh-CN"/>
        </w:rPr>
        <w:t xml:space="preserve">2 </w:t>
      </w:r>
      <w:r>
        <w:rPr>
          <w:rFonts w:hint="eastAsia" w:cs="Times New Roman"/>
          <w:lang w:val="en-US" w:eastAsia="zh-CN"/>
        </w:rPr>
        <w:t xml:space="preserve"> </w:t>
      </w:r>
      <w:r>
        <w:rPr>
          <w:rFonts w:hint="eastAsia" w:ascii="Times New Roman" w:hAnsi="Times New Roman" w:eastAsia="宋体" w:cs="Times New Roman"/>
        </w:rPr>
        <w:t>宜具备对动力系统运行数据的采集、展示等功能。</w:t>
      </w:r>
    </w:p>
    <w:p w14:paraId="501C7EA8">
      <w:pPr>
        <w:rPr>
          <w:rFonts w:hint="eastAsia" w:ascii="Times New Roman" w:hAnsi="Times New Roman" w:eastAsia="宋体" w:cs="Times New Roman"/>
          <w:b/>
          <w:bCs/>
        </w:rPr>
      </w:pPr>
      <w:r>
        <w:rPr>
          <w:rFonts w:hint="eastAsia" w:ascii="Times New Roman" w:hAnsi="Times New Roman" w:eastAsia="宋体" w:cs="Times New Roman"/>
          <w:b/>
          <w:bCs/>
        </w:rPr>
        <w:t>3.0.</w:t>
      </w:r>
      <w:r>
        <w:rPr>
          <w:rFonts w:hint="eastAsia" w:ascii="Times New Roman" w:hAnsi="Times New Roman" w:eastAsia="宋体" w:cs="Times New Roman"/>
          <w:b/>
          <w:bCs/>
          <w:lang w:val="en-US" w:eastAsia="zh-CN"/>
        </w:rPr>
        <w:t>1</w:t>
      </w:r>
      <w:r>
        <w:rPr>
          <w:rFonts w:hint="eastAsia" w:cs="Times New Roman"/>
          <w:b/>
          <w:bCs/>
          <w:lang w:val="en-US" w:eastAsia="zh-CN"/>
        </w:rPr>
        <w:t xml:space="preserve">3  </w:t>
      </w:r>
      <w:r>
        <w:rPr>
          <w:rFonts w:hint="eastAsia" w:ascii="Times New Roman" w:hAnsi="Times New Roman" w:eastAsia="宋体" w:cs="Times New Roman"/>
        </w:rPr>
        <w:t>集成平台运行应包括作业、顶升、提升和停工四个阶段。</w:t>
      </w:r>
    </w:p>
    <w:p w14:paraId="6940213B">
      <w:pPr>
        <w:rPr>
          <w:rFonts w:hint="eastAsia" w:ascii="Times New Roman" w:hAnsi="Times New Roman" w:eastAsia="宋体" w:cs="Times New Roman"/>
          <w:b/>
          <w:bCs/>
        </w:rPr>
      </w:pPr>
      <w:r>
        <w:rPr>
          <w:rFonts w:hint="eastAsia" w:ascii="Times New Roman" w:hAnsi="Times New Roman" w:eastAsia="宋体" w:cs="Times New Roman"/>
          <w:b/>
          <w:bCs/>
        </w:rPr>
        <w:t>3.0.</w:t>
      </w:r>
      <w:r>
        <w:rPr>
          <w:rFonts w:hint="eastAsia" w:ascii="Times New Roman" w:hAnsi="Times New Roman" w:eastAsia="宋体" w:cs="Times New Roman"/>
          <w:b/>
          <w:bCs/>
          <w:lang w:val="en-US" w:eastAsia="zh-CN"/>
        </w:rPr>
        <w:t>1</w:t>
      </w:r>
      <w:r>
        <w:rPr>
          <w:rFonts w:hint="eastAsia" w:cs="Times New Roman"/>
          <w:b/>
          <w:bCs/>
          <w:lang w:val="en-US" w:eastAsia="zh-CN"/>
        </w:rPr>
        <w:t>4</w:t>
      </w:r>
      <w:r>
        <w:rPr>
          <w:rFonts w:hint="eastAsia" w:ascii="Times New Roman" w:hAnsi="Times New Roman" w:eastAsia="宋体" w:cs="Times New Roman"/>
          <w:b/>
          <w:bCs/>
        </w:rPr>
        <w:t xml:space="preserve"> </w:t>
      </w:r>
      <w:r>
        <w:rPr>
          <w:rFonts w:hint="eastAsia" w:ascii="Times New Roman" w:hAnsi="Times New Roman" w:eastAsia="宋体" w:cs="Times New Roman"/>
          <w:b/>
          <w:bCs/>
          <w:lang w:val="en-US" w:eastAsia="zh-CN"/>
        </w:rPr>
        <w:t xml:space="preserve"> </w:t>
      </w:r>
      <w:r>
        <w:rPr>
          <w:rFonts w:hint="eastAsia" w:ascii="Times New Roman" w:hAnsi="Times New Roman" w:eastAsia="宋体" w:cs="Times New Roman"/>
        </w:rPr>
        <w:t>集成平台使用前，应编制专项施工方案，</w:t>
      </w:r>
      <w:r>
        <w:rPr>
          <w:rFonts w:hint="eastAsia" w:cs="Times New Roman"/>
          <w:lang w:val="en-US" w:eastAsia="zh-CN"/>
        </w:rPr>
        <w:t>并组织</w:t>
      </w:r>
      <w:r>
        <w:rPr>
          <w:rFonts w:hint="eastAsia" w:ascii="Times New Roman" w:hAnsi="Times New Roman" w:eastAsia="宋体" w:cs="Times New Roman"/>
        </w:rPr>
        <w:t>专家论证。</w:t>
      </w:r>
    </w:p>
    <w:p w14:paraId="00FB6CB3">
      <w:pPr>
        <w:rPr>
          <w:rFonts w:hint="eastAsia" w:ascii="Times New Roman" w:hAnsi="Times New Roman" w:eastAsia="宋体" w:cs="Times New Roman"/>
          <w:b/>
          <w:bCs/>
        </w:rPr>
      </w:pPr>
      <w:r>
        <w:rPr>
          <w:rFonts w:hint="eastAsia" w:ascii="Times New Roman" w:hAnsi="Times New Roman" w:eastAsia="宋体" w:cs="Times New Roman"/>
          <w:b/>
          <w:bCs/>
        </w:rPr>
        <w:t>3.0.1</w:t>
      </w:r>
      <w:r>
        <w:rPr>
          <w:rFonts w:hint="eastAsia" w:cs="Times New Roman"/>
          <w:b/>
          <w:bCs/>
          <w:lang w:val="en-US" w:eastAsia="zh-CN"/>
        </w:rPr>
        <w:t>5</w:t>
      </w:r>
      <w:r>
        <w:rPr>
          <w:rFonts w:hint="eastAsia" w:ascii="Times New Roman" w:hAnsi="Times New Roman" w:eastAsia="宋体" w:cs="Times New Roman"/>
          <w:b/>
          <w:bCs/>
          <w:lang w:val="en-US" w:eastAsia="zh-CN"/>
        </w:rPr>
        <w:t xml:space="preserve"> </w:t>
      </w:r>
      <w:r>
        <w:rPr>
          <w:rFonts w:hint="eastAsia" w:cs="Times New Roman"/>
          <w:b/>
          <w:bCs/>
          <w:lang w:val="en-US" w:eastAsia="zh-CN"/>
        </w:rPr>
        <w:t xml:space="preserve"> </w:t>
      </w:r>
      <w:r>
        <w:rPr>
          <w:rFonts w:hint="eastAsia" w:ascii="Times New Roman" w:hAnsi="Times New Roman" w:eastAsia="宋体" w:cs="Times New Roman"/>
        </w:rPr>
        <w:t>集成平台应进行日常维护和定期检查。</w:t>
      </w:r>
    </w:p>
    <w:p w14:paraId="47A6EEFB">
      <w:pPr>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b/>
          <w:bCs/>
        </w:rPr>
        <w:t>3.0.1</w:t>
      </w:r>
      <w:r>
        <w:rPr>
          <w:rFonts w:hint="eastAsia" w:cs="Times New Roman"/>
          <w:b/>
          <w:bCs/>
          <w:lang w:val="en-US" w:eastAsia="zh-CN"/>
        </w:rPr>
        <w:t>6</w:t>
      </w:r>
      <w:r>
        <w:rPr>
          <w:rFonts w:hint="eastAsia" w:ascii="Times New Roman" w:hAnsi="Times New Roman" w:eastAsia="宋体" w:cs="Times New Roman"/>
          <w:b/>
          <w:bCs/>
          <w:lang w:val="en-US" w:eastAsia="zh-CN"/>
        </w:rPr>
        <w:t xml:space="preserve"> </w:t>
      </w:r>
      <w:r>
        <w:rPr>
          <w:rFonts w:hint="eastAsia" w:cs="Times New Roman"/>
          <w:b/>
          <w:bCs/>
          <w:lang w:val="en-US" w:eastAsia="zh-CN"/>
        </w:rPr>
        <w:t xml:space="preserve"> </w:t>
      </w:r>
      <w:r>
        <w:rPr>
          <w:rFonts w:hint="eastAsia" w:ascii="Times New Roman" w:hAnsi="Times New Roman" w:eastAsia="宋体" w:cs="Times New Roman"/>
        </w:rPr>
        <w:t>未经技术鉴定或设计许可，不得将集成平台周转使用或改变集成平台的</w:t>
      </w:r>
      <w:r>
        <w:rPr>
          <w:rFonts w:hint="eastAsia" w:ascii="Times New Roman" w:hAnsi="Times New Roman" w:eastAsia="宋体" w:cs="Times New Roman"/>
          <w:lang w:val="en-US" w:eastAsia="zh-CN"/>
        </w:rPr>
        <w:t>结构、用途。</w:t>
      </w:r>
    </w:p>
    <w:p w14:paraId="279F4938">
      <w:pPr>
        <w:pStyle w:val="2"/>
        <w:spacing w:before="312" w:after="312"/>
        <w:rPr>
          <w:rFonts w:ascii="Times New Roman" w:hAnsi="Times New Roman" w:eastAsia="宋体"/>
          <w:color w:val="000000" w:themeColor="text1"/>
          <w:sz w:val="30"/>
          <w:szCs w:val="30"/>
          <w14:textFill>
            <w14:solidFill>
              <w14:schemeClr w14:val="tx1"/>
            </w14:solidFill>
          </w14:textFill>
        </w:rPr>
      </w:pPr>
      <w:r>
        <w:rPr>
          <w:rFonts w:ascii="Times New Roman" w:hAnsi="Times New Roman" w:eastAsia="宋体"/>
          <w:color w:val="000000" w:themeColor="text1"/>
          <w:sz w:val="30"/>
          <w:szCs w:val="30"/>
          <w14:textFill>
            <w14:solidFill>
              <w14:schemeClr w14:val="tx1"/>
            </w14:solidFill>
          </w14:textFill>
        </w:rPr>
        <w:br w:type="page"/>
      </w:r>
      <w:bookmarkStart w:id="53" w:name="_Toc493608148"/>
      <w:bookmarkStart w:id="54" w:name="_Toc547"/>
      <w:bookmarkStart w:id="55" w:name="_Toc417580843"/>
      <w:bookmarkStart w:id="56" w:name="_Toc429469181"/>
      <w:bookmarkStart w:id="57" w:name="_Toc417572987"/>
      <w:bookmarkStart w:id="58" w:name="_Toc417572936"/>
      <w:bookmarkStart w:id="59" w:name="_Toc452029042"/>
    </w:p>
    <w:p w14:paraId="3CA2A459">
      <w:pPr>
        <w:pStyle w:val="2"/>
        <w:bidi w:val="0"/>
        <w:rPr>
          <w:rFonts w:hint="eastAsia" w:eastAsia="宋体"/>
          <w:color w:val="000000" w:themeColor="text1"/>
          <w:lang w:val="en-US" w:eastAsia="zh-CN"/>
          <w14:textFill>
            <w14:solidFill>
              <w14:schemeClr w14:val="tx1"/>
            </w14:solidFill>
          </w14:textFill>
        </w:rPr>
      </w:pPr>
      <w:bookmarkStart w:id="60" w:name="_Toc26140"/>
      <w:r>
        <w:rPr>
          <w:rFonts w:hint="eastAsia"/>
          <w:color w:val="000000" w:themeColor="text1"/>
          <w:lang w:eastAsia="zh-CN"/>
          <w14:textFill>
            <w14:solidFill>
              <w14:schemeClr w14:val="tx1"/>
            </w14:solidFill>
          </w14:textFill>
        </w:rPr>
        <w:t>第</w:t>
      </w:r>
      <w:r>
        <w:rPr>
          <w:rFonts w:hint="eastAsia"/>
          <w:color w:val="000000" w:themeColor="text1"/>
          <w:lang w:val="en-US" w:eastAsia="zh-CN"/>
          <w14:textFill>
            <w14:solidFill>
              <w14:schemeClr w14:val="tx1"/>
            </w14:solidFill>
          </w14:textFill>
        </w:rPr>
        <w:t>4</w:t>
      </w:r>
      <w:r>
        <w:rPr>
          <w:rFonts w:hint="eastAsia"/>
          <w:color w:val="000000" w:themeColor="text1"/>
          <w:lang w:eastAsia="zh-CN"/>
          <w14:textFill>
            <w14:solidFill>
              <w14:schemeClr w14:val="tx1"/>
            </w14:solidFill>
          </w14:textFill>
        </w:rPr>
        <w:t>章</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材料</w:t>
      </w:r>
      <w:bookmarkEnd w:id="60"/>
    </w:p>
    <w:p w14:paraId="69BB31AC">
      <w:pPr>
        <w:bidi w:val="0"/>
        <w:rPr>
          <w:rFonts w:hint="default"/>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default"/>
          <w:b/>
          <w:bCs/>
          <w:color w:val="000000" w:themeColor="text1"/>
          <w:lang w:val="en-US" w:eastAsia="zh-CN"/>
          <w14:textFill>
            <w14:solidFill>
              <w14:schemeClr w14:val="tx1"/>
            </w14:solidFill>
          </w14:textFill>
        </w:rPr>
        <w:t>.</w:t>
      </w:r>
      <w:r>
        <w:rPr>
          <w:rFonts w:hint="eastAsia"/>
          <w:b/>
          <w:bCs/>
          <w:color w:val="000000" w:themeColor="text1"/>
          <w:lang w:val="en-US" w:eastAsia="zh-CN"/>
          <w14:textFill>
            <w14:solidFill>
              <w14:schemeClr w14:val="tx1"/>
            </w14:solidFill>
          </w14:textFill>
        </w:rPr>
        <w:t>0</w:t>
      </w:r>
      <w:r>
        <w:rPr>
          <w:rFonts w:hint="default"/>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钢材</w:t>
      </w:r>
    </w:p>
    <w:p w14:paraId="4D97C6E0">
      <w:pPr>
        <w:bidi w:val="0"/>
        <w:ind w:firstLine="482" w:firstLineChars="200"/>
        <w:rPr>
          <w:rFonts w:hint="eastAsia"/>
          <w:color w:val="000000" w:themeColor="text1"/>
          <w:lang w:val="en-US" w:eastAsia="zh-CN"/>
          <w14:textFill>
            <w14:solidFill>
              <w14:schemeClr w14:val="tx1"/>
            </w14:solidFill>
          </w14:textFill>
        </w:rPr>
      </w:pPr>
      <w:r>
        <w:rPr>
          <w:rFonts w:hint="eastAsia"/>
          <w:b/>
          <w:bCs/>
          <w:color w:val="auto"/>
          <w:highlight w:val="none"/>
          <w:lang w:val="en-US" w:eastAsia="zh-CN"/>
        </w:rPr>
        <w:t>1</w:t>
      </w:r>
      <w:r>
        <w:rPr>
          <w:rFonts w:hint="eastAsia"/>
          <w:color w:val="auto"/>
          <w:highlight w:val="none"/>
          <w:lang w:val="en-US" w:eastAsia="zh-CN"/>
        </w:rPr>
        <w:t xml:space="preserve">  集成平台所用钢材应按图样设计选用，其性能应分别符合现行国家标准《建筑结构用钢板》GB/T 19879、《优质碳素结构钢》GB/T 699、《碳素结构钢》GB/T 700、《热轧型钢》GB/T 706、《低合金高强度结构钢》GB/T 1591、《冷弯型钢结构技术标准》GB/T 50018、《合金结构钢》GB/T 3077、《承压设备用钢板和钢带》GB/T 713.1~GB/T 713.7、《不锈钢热轧钢板和钢带》GB/T 4237、《不锈钢复合钢板和钢带》GB/T 8165等标准的相关规定。</w:t>
      </w:r>
    </w:p>
    <w:p w14:paraId="0159F2CE">
      <w:pPr>
        <w:bidi w:val="0"/>
        <w:ind w:firstLine="482" w:firstLineChars="200"/>
        <w:rPr>
          <w:rFonts w:hint="eastAsia"/>
          <w:color w:val="auto"/>
          <w:highlight w:val="none"/>
          <w:lang w:val="en-US" w:eastAsia="zh-CN"/>
        </w:rPr>
      </w:pPr>
      <w:r>
        <w:rPr>
          <w:rFonts w:hint="eastAsia"/>
          <w:b/>
          <w:bCs/>
          <w:color w:val="auto"/>
          <w:highlight w:val="none"/>
          <w:lang w:val="en-US" w:eastAsia="zh-CN"/>
        </w:rPr>
        <w:t>2</w:t>
      </w:r>
      <w:r>
        <w:rPr>
          <w:rFonts w:hint="eastAsia"/>
          <w:color w:val="auto"/>
          <w:highlight w:val="none"/>
          <w:lang w:val="en-US" w:eastAsia="zh-CN"/>
        </w:rPr>
        <w:t xml:space="preserve">  集成平台结构用钢材的选用应遵循技术可靠、经济合理的原则，并综合考虑结构的重要性、荷载特征、应力状态、连接方法及工作环境等因素。</w:t>
      </w:r>
    </w:p>
    <w:p w14:paraId="5A9407DC">
      <w:pPr>
        <w:bidi w:val="0"/>
        <w:ind w:firstLine="482" w:firstLineChars="200"/>
        <w:rPr>
          <w:rFonts w:hint="eastAsia"/>
          <w:color w:val="auto"/>
          <w:highlight w:val="none"/>
          <w:lang w:val="en-US" w:eastAsia="zh-CN"/>
        </w:rPr>
      </w:pPr>
      <w:r>
        <w:rPr>
          <w:rFonts w:hint="eastAsia"/>
          <w:b/>
          <w:bCs/>
          <w:color w:val="auto"/>
          <w:highlight w:val="none"/>
          <w:lang w:val="en-US" w:eastAsia="zh-CN"/>
        </w:rPr>
        <w:t>3</w:t>
      </w:r>
      <w:r>
        <w:rPr>
          <w:rFonts w:hint="eastAsia"/>
          <w:color w:val="auto"/>
          <w:highlight w:val="none"/>
          <w:lang w:val="en-US" w:eastAsia="zh-CN"/>
        </w:rPr>
        <w:t xml:space="preserve"> 集成平台主要受力结构件所用钢材的牌号不应低于现行国家标准《低合金高强度结构钢》GB/T 1591中规定的Q355B。挂架系统主要受力结构件所用钢材的牌号不应低于现行国家标准《碳素结构钢》GB/T 700中规定的Q235B。支承系统中的挂爪、爪靴及挂爪销轴宜采用42CrMo钢，其质量应符合现行国家标准《合金结构钢》GB/T 3077的相关规定。</w:t>
      </w:r>
    </w:p>
    <w:p w14:paraId="7A931AD4">
      <w:pPr>
        <w:bidi w:val="0"/>
        <w:ind w:firstLine="482" w:firstLineChars="200"/>
        <w:rPr>
          <w:rFonts w:hint="eastAsia"/>
          <w:color w:val="auto"/>
          <w:highlight w:val="none"/>
          <w:lang w:val="en-US" w:eastAsia="zh-CN"/>
        </w:rPr>
      </w:pPr>
      <w:r>
        <w:rPr>
          <w:rFonts w:hint="eastAsia"/>
          <w:b/>
          <w:bCs/>
          <w:color w:val="auto"/>
          <w:highlight w:val="none"/>
          <w:lang w:val="en-US" w:eastAsia="zh-CN"/>
        </w:rPr>
        <w:t>4</w:t>
      </w:r>
      <w:r>
        <w:rPr>
          <w:rFonts w:hint="eastAsia"/>
          <w:color w:val="auto"/>
          <w:highlight w:val="none"/>
          <w:lang w:val="en-US" w:eastAsia="zh-CN"/>
        </w:rPr>
        <w:t xml:space="preserve">  焊接承重结构所用钢材有Z向性能要求时，其质量应符合现行国家标准《厚度方向性能钢板》GB/T 5313的相关规定。</w:t>
      </w:r>
    </w:p>
    <w:p w14:paraId="76EB0359">
      <w:pPr>
        <w:bidi w:val="0"/>
        <w:rPr>
          <w:rFonts w:hint="eastAsia"/>
          <w:color w:val="auto"/>
          <w:highlight w:val="none"/>
          <w:lang w:val="en-US" w:eastAsia="zh-CN"/>
        </w:rPr>
      </w:pPr>
      <w:r>
        <w:rPr>
          <w:rFonts w:hint="eastAsia"/>
          <w:b/>
          <w:bCs/>
          <w:color w:val="auto"/>
          <w:highlight w:val="none"/>
          <w:lang w:val="en-US" w:eastAsia="zh-CN"/>
        </w:rPr>
        <w:t>4</w:t>
      </w:r>
      <w:r>
        <w:rPr>
          <w:rFonts w:hint="default"/>
          <w:b/>
          <w:bCs/>
          <w:color w:val="auto"/>
          <w:highlight w:val="none"/>
          <w:lang w:val="en-US" w:eastAsia="zh-CN"/>
        </w:rPr>
        <w:t>.</w:t>
      </w:r>
      <w:r>
        <w:rPr>
          <w:rFonts w:hint="eastAsia"/>
          <w:b/>
          <w:bCs/>
          <w:color w:val="auto"/>
          <w:highlight w:val="none"/>
          <w:lang w:val="en-US" w:eastAsia="zh-CN"/>
        </w:rPr>
        <w:t>0</w:t>
      </w:r>
      <w:r>
        <w:rPr>
          <w:rFonts w:hint="default"/>
          <w:b/>
          <w:bCs/>
          <w:color w:val="auto"/>
          <w:highlight w:val="none"/>
          <w:lang w:val="en-US" w:eastAsia="zh-CN"/>
        </w:rPr>
        <w:t>.2</w:t>
      </w:r>
      <w:r>
        <w:rPr>
          <w:rFonts w:hint="eastAsia"/>
          <w:color w:val="auto"/>
          <w:highlight w:val="none"/>
          <w:lang w:val="en-US" w:eastAsia="zh-CN"/>
        </w:rPr>
        <w:t xml:space="preserve">  焊接材料</w:t>
      </w:r>
    </w:p>
    <w:p w14:paraId="3ABE0EC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auto"/>
          <w:highlight w:val="none"/>
          <w:lang w:val="en-US" w:eastAsia="zh-CN"/>
        </w:rPr>
      </w:pPr>
      <w:r>
        <w:rPr>
          <w:rFonts w:hint="eastAsia"/>
          <w:b/>
          <w:bCs/>
          <w:color w:val="auto"/>
          <w:highlight w:val="none"/>
          <w:lang w:val="en-US" w:eastAsia="zh-CN"/>
        </w:rPr>
        <w:t>（1）</w:t>
      </w:r>
      <w:r>
        <w:rPr>
          <w:rFonts w:hint="eastAsia"/>
          <w:color w:val="auto"/>
          <w:highlight w:val="none"/>
          <w:lang w:val="en-US" w:eastAsia="zh-CN"/>
        </w:rPr>
        <w:t>焊接材料的型号和性能应与母材的力学性能相适应，其熔覆金属的力学性能应符合设计规定，且不应低于相应母材标准的下限值。</w:t>
      </w:r>
    </w:p>
    <w:p w14:paraId="51B8082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auto"/>
          <w:highlight w:val="none"/>
          <w:lang w:val="en-US" w:eastAsia="zh-CN"/>
        </w:rPr>
      </w:pPr>
      <w:r>
        <w:rPr>
          <w:rFonts w:hint="eastAsia"/>
          <w:b/>
          <w:bCs/>
          <w:color w:val="auto"/>
          <w:highlight w:val="none"/>
          <w:lang w:val="en-US" w:eastAsia="zh-CN"/>
        </w:rPr>
        <w:t>（2）</w:t>
      </w:r>
      <w:r>
        <w:rPr>
          <w:rFonts w:hint="eastAsia"/>
          <w:color w:val="auto"/>
          <w:highlight w:val="none"/>
          <w:lang w:val="en-US" w:eastAsia="zh-CN"/>
        </w:rPr>
        <w:t>不同强度等级钢材的焊接接头，其焊接材料的选择应满足强度较低一侧母材的要求，但焊缝的塑性和冲击韧性不应低于设计文件的规定。</w:t>
      </w:r>
    </w:p>
    <w:p w14:paraId="5B7D376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auto"/>
          <w:highlight w:val="none"/>
          <w:lang w:val="en-US" w:eastAsia="zh-CN"/>
        </w:rPr>
      </w:pPr>
      <w:r>
        <w:rPr>
          <w:rFonts w:hint="eastAsia"/>
          <w:b/>
          <w:bCs/>
          <w:color w:val="auto"/>
          <w:highlight w:val="none"/>
          <w:lang w:val="en-US" w:eastAsia="zh-CN"/>
        </w:rPr>
        <w:t>（3）</w:t>
      </w:r>
      <w:r>
        <w:rPr>
          <w:rFonts w:hint="eastAsia"/>
          <w:color w:val="auto"/>
          <w:highlight w:val="none"/>
          <w:lang w:val="en-US" w:eastAsia="zh-CN"/>
        </w:rPr>
        <w:t>典型钢材的焊接材料匹配推荐可按现行国家标准《钢结构焊接规范》GB 50661中表7.2.7的相关规定执行。</w:t>
      </w:r>
    </w:p>
    <w:p w14:paraId="54CA21F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auto"/>
          <w:highlight w:val="none"/>
          <w:lang w:val="en-US" w:eastAsia="zh-CN"/>
        </w:rPr>
      </w:pPr>
      <w:r>
        <w:rPr>
          <w:rFonts w:hint="eastAsia"/>
          <w:b/>
          <w:bCs/>
          <w:color w:val="auto"/>
          <w:highlight w:val="none"/>
          <w:lang w:val="en-US" w:eastAsia="zh-CN"/>
        </w:rPr>
        <w:t xml:space="preserve">（4） </w:t>
      </w:r>
      <w:r>
        <w:rPr>
          <w:rFonts w:hint="eastAsia"/>
          <w:color w:val="auto"/>
          <w:highlight w:val="none"/>
          <w:lang w:val="en-US" w:eastAsia="zh-CN"/>
        </w:rPr>
        <w:t>手工焊用焊条应符合现行国家标准《非合金钢及细晶粒钢焊条》GB/T 5117 或《热强钢焊条》GB/T 5118 的相关规定。</w:t>
      </w:r>
    </w:p>
    <w:p w14:paraId="4F28733A">
      <w:pPr>
        <w:bidi w:val="0"/>
        <w:ind w:firstLine="482" w:firstLineChars="200"/>
        <w:rPr>
          <w:rFonts w:hint="eastAsia"/>
          <w:color w:val="auto"/>
          <w:highlight w:val="none"/>
          <w:lang w:val="en-US" w:eastAsia="zh-CN"/>
        </w:rPr>
      </w:pPr>
      <w:r>
        <w:rPr>
          <w:rFonts w:hint="eastAsia"/>
          <w:b/>
          <w:bCs/>
          <w:color w:val="auto"/>
          <w:highlight w:val="none"/>
          <w:lang w:val="en-US" w:eastAsia="zh-CN"/>
        </w:rPr>
        <w:t>（5）</w:t>
      </w:r>
      <w:r>
        <w:rPr>
          <w:rFonts w:hint="eastAsia"/>
          <w:color w:val="auto"/>
          <w:highlight w:val="none"/>
          <w:lang w:val="en-US" w:eastAsia="zh-CN"/>
        </w:rPr>
        <w:t>自动焊或半自动焊用焊丝应符合现行国家标准《熔化极气体保护电弧焊用非合金钢及细晶粒钢实心焊丝》GB/T 8110 的相关规定。</w:t>
      </w:r>
    </w:p>
    <w:p w14:paraId="19526134">
      <w:pPr>
        <w:bidi w:val="0"/>
        <w:ind w:firstLine="482" w:firstLineChars="200"/>
        <w:rPr>
          <w:rFonts w:hint="eastAsia"/>
          <w:color w:val="auto"/>
          <w:highlight w:val="none"/>
          <w:lang w:val="en-US" w:eastAsia="zh-CN"/>
        </w:rPr>
      </w:pPr>
      <w:r>
        <w:rPr>
          <w:rFonts w:hint="eastAsia"/>
          <w:b/>
          <w:bCs/>
          <w:color w:val="auto"/>
          <w:highlight w:val="none"/>
          <w:lang w:val="en-US" w:eastAsia="zh-CN"/>
        </w:rPr>
        <w:t>（6）</w:t>
      </w:r>
      <w:r>
        <w:rPr>
          <w:rFonts w:hint="eastAsia"/>
          <w:color w:val="auto"/>
          <w:highlight w:val="none"/>
          <w:lang w:val="en-US" w:eastAsia="zh-CN"/>
        </w:rPr>
        <w:t>对于重要结构或采用高强度钢的焊接，应采用低氢型焊接材料，其熔敷金属扩散氢含量应符合现行国家标准GB/T 50661的相关规定及设计文件的规定。</w:t>
      </w:r>
    </w:p>
    <w:p w14:paraId="68EF5A74">
      <w:pPr>
        <w:bidi w:val="0"/>
        <w:rPr>
          <w:rFonts w:hint="eastAsia"/>
          <w:color w:val="auto"/>
          <w:highlight w:val="none"/>
          <w:lang w:val="en-US" w:eastAsia="zh-CN"/>
        </w:rPr>
      </w:pPr>
      <w:r>
        <w:rPr>
          <w:rFonts w:hint="eastAsia"/>
          <w:b/>
          <w:bCs/>
          <w:color w:val="auto"/>
          <w:highlight w:val="none"/>
          <w:lang w:val="en-US" w:eastAsia="zh-CN"/>
        </w:rPr>
        <w:t>4</w:t>
      </w:r>
      <w:r>
        <w:rPr>
          <w:rFonts w:hint="default"/>
          <w:b/>
          <w:bCs/>
          <w:color w:val="auto"/>
          <w:highlight w:val="none"/>
          <w:lang w:val="en-US" w:eastAsia="zh-CN"/>
        </w:rPr>
        <w:t>.</w:t>
      </w:r>
      <w:r>
        <w:rPr>
          <w:rFonts w:hint="eastAsia"/>
          <w:b/>
          <w:bCs/>
          <w:color w:val="auto"/>
          <w:highlight w:val="none"/>
          <w:lang w:val="en-US" w:eastAsia="zh-CN"/>
        </w:rPr>
        <w:t>0</w:t>
      </w:r>
      <w:r>
        <w:rPr>
          <w:rFonts w:hint="default"/>
          <w:b/>
          <w:bCs/>
          <w:color w:val="auto"/>
          <w:highlight w:val="none"/>
          <w:lang w:val="en-US" w:eastAsia="zh-CN"/>
        </w:rPr>
        <w:t>.</w:t>
      </w:r>
      <w:r>
        <w:rPr>
          <w:rFonts w:hint="eastAsia"/>
          <w:b/>
          <w:bCs/>
          <w:color w:val="auto"/>
          <w:highlight w:val="none"/>
          <w:lang w:val="en-US" w:eastAsia="zh-CN"/>
        </w:rPr>
        <w:t>3</w:t>
      </w:r>
      <w:r>
        <w:rPr>
          <w:rFonts w:hint="eastAsia"/>
          <w:color w:val="auto"/>
          <w:highlight w:val="none"/>
          <w:lang w:val="en-US" w:eastAsia="zh-CN"/>
        </w:rPr>
        <w:t xml:space="preserve">  连接件与紧固件</w:t>
      </w:r>
    </w:p>
    <w:p w14:paraId="30D8910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auto"/>
          <w:highlight w:val="none"/>
          <w:lang w:val="en-US" w:eastAsia="zh-CN"/>
        </w:rPr>
      </w:pPr>
      <w:r>
        <w:rPr>
          <w:rFonts w:hint="eastAsia"/>
          <w:b/>
          <w:bCs/>
          <w:color w:val="auto"/>
          <w:highlight w:val="none"/>
          <w:lang w:val="en-US" w:eastAsia="zh-CN"/>
        </w:rPr>
        <w:t>1</w:t>
      </w:r>
      <w:r>
        <w:rPr>
          <w:rFonts w:hint="eastAsia"/>
          <w:color w:val="auto"/>
          <w:highlight w:val="none"/>
          <w:lang w:val="en-US" w:eastAsia="zh-CN"/>
        </w:rPr>
        <w:t xml:space="preserve">  高强螺栓</w:t>
      </w:r>
    </w:p>
    <w:p w14:paraId="44426E3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auto"/>
          <w:highlight w:val="none"/>
          <w:lang w:val="en-US" w:eastAsia="zh-CN"/>
        </w:rPr>
      </w:pPr>
      <w:r>
        <w:rPr>
          <w:rFonts w:hint="eastAsia"/>
          <w:b w:val="0"/>
          <w:bCs w:val="0"/>
          <w:color w:val="auto"/>
          <w:highlight w:val="none"/>
          <w:lang w:val="en-US" w:eastAsia="zh-CN"/>
        </w:rPr>
        <w:t>高强螺栓质量应符合现行国家标准《钢结构用高强度大六角头螺栓连接副》GB/T 1231或《钢结构用扭剪型高强度螺栓连接副》 GB/T 3632的相关规定。</w:t>
      </w:r>
    </w:p>
    <w:p w14:paraId="4E1D38D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auto"/>
          <w:highlight w:val="none"/>
          <w:lang w:val="en-US" w:eastAsia="zh-CN"/>
        </w:rPr>
      </w:pPr>
      <w:r>
        <w:rPr>
          <w:rFonts w:hint="eastAsia"/>
          <w:b/>
          <w:bCs/>
          <w:color w:val="auto"/>
          <w:highlight w:val="none"/>
          <w:lang w:val="en-US" w:eastAsia="zh-CN"/>
        </w:rPr>
        <w:t xml:space="preserve">2 </w:t>
      </w:r>
      <w:r>
        <w:rPr>
          <w:rFonts w:hint="eastAsia"/>
          <w:color w:val="auto"/>
          <w:highlight w:val="none"/>
          <w:lang w:val="en-US" w:eastAsia="zh-CN"/>
        </w:rPr>
        <w:t xml:space="preserve"> 销轴</w:t>
      </w:r>
    </w:p>
    <w:p w14:paraId="5C9D0CC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auto"/>
          <w:highlight w:val="none"/>
          <w:lang w:val="en-US" w:eastAsia="zh-CN"/>
        </w:rPr>
      </w:pPr>
      <w:r>
        <w:rPr>
          <w:rFonts w:hint="eastAsia"/>
          <w:b w:val="0"/>
          <w:bCs w:val="0"/>
          <w:color w:val="auto"/>
          <w:highlight w:val="none"/>
          <w:lang w:val="en-US" w:eastAsia="zh-CN"/>
        </w:rPr>
        <w:t>销轴材料应符合现行国家标准《钢结构设计标准》GB 50017的相关规定。</w:t>
      </w:r>
    </w:p>
    <w:p w14:paraId="03371991">
      <w:pPr>
        <w:bidi w:val="0"/>
        <w:rPr>
          <w:rFonts w:hint="eastAsia"/>
          <w:color w:val="auto"/>
          <w:highlight w:val="none"/>
          <w:lang w:val="en-US" w:eastAsia="zh-CN"/>
        </w:rPr>
      </w:pPr>
      <w:r>
        <w:rPr>
          <w:rFonts w:hint="eastAsia"/>
          <w:b/>
          <w:bCs/>
          <w:color w:val="auto"/>
          <w:highlight w:val="none"/>
          <w:lang w:val="en-US" w:eastAsia="zh-CN"/>
        </w:rPr>
        <w:t>4</w:t>
      </w:r>
      <w:r>
        <w:rPr>
          <w:rFonts w:hint="default"/>
          <w:b/>
          <w:bCs/>
          <w:color w:val="auto"/>
          <w:highlight w:val="none"/>
          <w:lang w:val="en-US" w:eastAsia="zh-CN"/>
        </w:rPr>
        <w:t>.</w:t>
      </w:r>
      <w:r>
        <w:rPr>
          <w:rFonts w:hint="eastAsia"/>
          <w:b/>
          <w:bCs/>
          <w:color w:val="auto"/>
          <w:highlight w:val="none"/>
          <w:lang w:val="en-US" w:eastAsia="zh-CN"/>
        </w:rPr>
        <w:t>0</w:t>
      </w:r>
      <w:r>
        <w:rPr>
          <w:rFonts w:hint="default"/>
          <w:b/>
          <w:bCs/>
          <w:color w:val="auto"/>
          <w:highlight w:val="none"/>
          <w:lang w:val="en-US" w:eastAsia="zh-CN"/>
        </w:rPr>
        <w:t>.</w:t>
      </w:r>
      <w:r>
        <w:rPr>
          <w:rFonts w:hint="eastAsia"/>
          <w:b/>
          <w:bCs/>
          <w:color w:val="auto"/>
          <w:highlight w:val="none"/>
          <w:lang w:val="en-US" w:eastAsia="zh-CN"/>
        </w:rPr>
        <w:t>4</w:t>
      </w:r>
      <w:r>
        <w:rPr>
          <w:rFonts w:hint="eastAsia"/>
          <w:color w:val="auto"/>
          <w:highlight w:val="none"/>
          <w:lang w:val="en-US" w:eastAsia="zh-CN"/>
        </w:rPr>
        <w:t xml:space="preserve">  铝合金材料</w:t>
      </w:r>
    </w:p>
    <w:p w14:paraId="7E345146">
      <w:pPr>
        <w:bidi w:val="0"/>
        <w:ind w:firstLine="482" w:firstLineChars="200"/>
        <w:rPr>
          <w:rFonts w:hint="eastAsia"/>
          <w:color w:val="auto"/>
          <w:highlight w:val="none"/>
          <w:lang w:val="en-US" w:eastAsia="zh-CN"/>
        </w:rPr>
      </w:pPr>
      <w:r>
        <w:rPr>
          <w:rFonts w:hint="eastAsia"/>
          <w:b/>
          <w:bCs/>
          <w:color w:val="auto"/>
          <w:highlight w:val="none"/>
          <w:lang w:val="en-US" w:eastAsia="zh-CN"/>
        </w:rPr>
        <w:t xml:space="preserve">1 </w:t>
      </w:r>
      <w:r>
        <w:rPr>
          <w:rFonts w:hint="eastAsia"/>
          <w:color w:val="auto"/>
          <w:highlight w:val="none"/>
          <w:lang w:val="en-US" w:eastAsia="zh-CN"/>
        </w:rPr>
        <w:t xml:space="preserve"> 铝合金材料质量应符合现行国家标准《一般工业用铝及铝合金板、带材》GB/T 3880 的相关规定。</w:t>
      </w:r>
    </w:p>
    <w:p w14:paraId="1FB47C4A">
      <w:pPr>
        <w:keepNext w:val="0"/>
        <w:keepLines w:val="0"/>
        <w:pageBreakBefore w:val="0"/>
        <w:widowControl w:val="0"/>
        <w:kinsoku/>
        <w:wordWrap/>
        <w:overflowPunct/>
        <w:topLinePunct w:val="0"/>
        <w:autoSpaceDE/>
        <w:autoSpaceDN/>
        <w:bidi w:val="0"/>
        <w:adjustRightInd/>
        <w:snapToGrid/>
        <w:ind w:firstLine="482" w:firstLineChars="200"/>
        <w:textAlignment w:val="auto"/>
        <w:rPr>
          <w:color w:val="auto"/>
          <w:highlight w:val="none"/>
        </w:rPr>
      </w:pPr>
      <w:r>
        <w:rPr>
          <w:rFonts w:hint="eastAsia"/>
          <w:b/>
          <w:bCs/>
          <w:color w:val="auto"/>
          <w:highlight w:val="none"/>
          <w:lang w:val="en-US" w:eastAsia="zh-CN"/>
        </w:rPr>
        <w:t>2</w:t>
      </w:r>
      <w:r>
        <w:rPr>
          <w:rFonts w:hint="eastAsia"/>
          <w:color w:val="auto"/>
          <w:highlight w:val="none"/>
          <w:lang w:val="en-US" w:eastAsia="zh-CN"/>
        </w:rPr>
        <w:t xml:space="preserve">  铝合金模板及型材应符合现行国家标准《一般工业用铝及铝合金挤压型材》GB/T 6892或《铝合金建筑型材》GB/T 5237的相关规定。</w:t>
      </w:r>
    </w:p>
    <w:p w14:paraId="4C3317A9">
      <w:pPr>
        <w:bidi w:val="0"/>
        <w:rPr>
          <w:rFonts w:hint="eastAsia"/>
          <w:color w:val="auto"/>
          <w:highlight w:val="none"/>
          <w:lang w:val="en-US" w:eastAsia="zh-CN"/>
        </w:rPr>
      </w:pPr>
      <w:r>
        <w:rPr>
          <w:rFonts w:hint="eastAsia"/>
          <w:b/>
          <w:bCs/>
          <w:color w:val="auto"/>
          <w:highlight w:val="none"/>
          <w:lang w:val="en-US" w:eastAsia="zh-CN"/>
        </w:rPr>
        <w:t>4</w:t>
      </w:r>
      <w:r>
        <w:rPr>
          <w:rFonts w:hint="default"/>
          <w:b/>
          <w:bCs/>
          <w:color w:val="auto"/>
          <w:highlight w:val="none"/>
          <w:lang w:val="en-US" w:eastAsia="zh-CN"/>
        </w:rPr>
        <w:t>.</w:t>
      </w:r>
      <w:r>
        <w:rPr>
          <w:rFonts w:hint="eastAsia"/>
          <w:b/>
          <w:bCs/>
          <w:color w:val="auto"/>
          <w:highlight w:val="none"/>
          <w:lang w:val="en-US" w:eastAsia="zh-CN"/>
        </w:rPr>
        <w:t>0</w:t>
      </w:r>
      <w:r>
        <w:rPr>
          <w:rFonts w:hint="default"/>
          <w:b/>
          <w:bCs/>
          <w:color w:val="auto"/>
          <w:highlight w:val="none"/>
          <w:lang w:val="en-US" w:eastAsia="zh-CN"/>
        </w:rPr>
        <w:t>.</w:t>
      </w:r>
      <w:r>
        <w:rPr>
          <w:rFonts w:hint="eastAsia"/>
          <w:b/>
          <w:bCs/>
          <w:color w:val="auto"/>
          <w:highlight w:val="none"/>
          <w:lang w:val="en-US" w:eastAsia="zh-CN"/>
        </w:rPr>
        <w:t>5</w:t>
      </w:r>
      <w:r>
        <w:rPr>
          <w:rFonts w:hint="eastAsia"/>
          <w:color w:val="auto"/>
          <w:highlight w:val="none"/>
          <w:lang w:val="en-US" w:eastAsia="zh-CN"/>
        </w:rPr>
        <w:t xml:space="preserve">  防腐与涂装材料</w:t>
      </w:r>
    </w:p>
    <w:p w14:paraId="2A870606">
      <w:pPr>
        <w:bidi w:val="0"/>
        <w:ind w:firstLine="480" w:firstLineChars="200"/>
        <w:rPr>
          <w:rFonts w:hint="eastAsia"/>
          <w:b w:val="0"/>
          <w:bCs w:val="0"/>
          <w:color w:val="auto"/>
          <w:highlight w:val="none"/>
          <w:lang w:val="en-US" w:eastAsia="zh-CN"/>
        </w:rPr>
      </w:pPr>
      <w:r>
        <w:rPr>
          <w:rFonts w:hint="eastAsia"/>
          <w:b w:val="0"/>
          <w:bCs w:val="0"/>
          <w:color w:val="auto"/>
          <w:highlight w:val="none"/>
          <w:lang w:val="en-US" w:eastAsia="zh-CN"/>
        </w:rPr>
        <w:t>涂装材料应符合现行国家标准《钢结构防护涂装通用技术条件》GB/T 28699和《重型机械通用技术条件 第 12部分：涂装》GB/T 37400.12的相关规定。</w:t>
      </w:r>
    </w:p>
    <w:p w14:paraId="554F0617">
      <w:pPr>
        <w:bidi w:val="0"/>
        <w:rPr>
          <w:rFonts w:hint="eastAsia"/>
          <w:b/>
          <w:bCs/>
          <w:color w:val="auto"/>
          <w:highlight w:val="none"/>
          <w:lang w:val="en-US" w:eastAsia="zh-CN"/>
        </w:rPr>
      </w:pPr>
      <w:r>
        <w:rPr>
          <w:rFonts w:hint="eastAsia"/>
          <w:b/>
          <w:bCs/>
          <w:color w:val="auto"/>
          <w:highlight w:val="none"/>
          <w:lang w:val="en-US" w:eastAsia="zh-CN"/>
        </w:rPr>
        <w:t>4</w:t>
      </w:r>
      <w:r>
        <w:rPr>
          <w:rFonts w:hint="default"/>
          <w:b/>
          <w:bCs/>
          <w:color w:val="auto"/>
          <w:highlight w:val="none"/>
          <w:lang w:val="en-US" w:eastAsia="zh-CN"/>
        </w:rPr>
        <w:t>.</w:t>
      </w:r>
      <w:r>
        <w:rPr>
          <w:rFonts w:hint="eastAsia"/>
          <w:b/>
          <w:bCs/>
          <w:color w:val="auto"/>
          <w:highlight w:val="none"/>
          <w:lang w:val="en-US" w:eastAsia="zh-CN"/>
        </w:rPr>
        <w:t>0</w:t>
      </w:r>
      <w:r>
        <w:rPr>
          <w:rFonts w:hint="default"/>
          <w:b/>
          <w:bCs/>
          <w:color w:val="auto"/>
          <w:highlight w:val="none"/>
          <w:lang w:val="en-US" w:eastAsia="zh-CN"/>
        </w:rPr>
        <w:t>.</w:t>
      </w:r>
      <w:r>
        <w:rPr>
          <w:rFonts w:hint="eastAsia"/>
          <w:b/>
          <w:bCs/>
          <w:color w:val="auto"/>
          <w:highlight w:val="none"/>
          <w:lang w:val="en-US" w:eastAsia="zh-CN"/>
        </w:rPr>
        <w:t>6  其他材料</w:t>
      </w:r>
    </w:p>
    <w:p w14:paraId="5437E82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auto"/>
          <w:highlight w:val="none"/>
          <w:lang w:val="en-US" w:eastAsia="zh-CN"/>
        </w:rPr>
      </w:pPr>
      <w:r>
        <w:rPr>
          <w:rFonts w:hint="eastAsia"/>
          <w:b/>
          <w:bCs/>
          <w:color w:val="auto"/>
          <w:highlight w:val="none"/>
          <w:lang w:val="en-US" w:eastAsia="zh-CN"/>
        </w:rPr>
        <w:t xml:space="preserve">1  </w:t>
      </w:r>
      <w:r>
        <w:rPr>
          <w:rFonts w:hint="eastAsia"/>
          <w:b w:val="0"/>
          <w:bCs w:val="0"/>
          <w:color w:val="auto"/>
          <w:highlight w:val="none"/>
          <w:lang w:val="en-US" w:eastAsia="zh-CN"/>
        </w:rPr>
        <w:t>防火材料：应符合现行国家标准《钢结构防火涂料》 GB 14907  的相关规定。</w:t>
      </w:r>
    </w:p>
    <w:p w14:paraId="71172B2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auto"/>
          <w:highlight w:val="none"/>
          <w:lang w:val="en-US" w:eastAsia="zh-CN"/>
        </w:rPr>
      </w:pPr>
      <w:r>
        <w:rPr>
          <w:rFonts w:hint="eastAsia"/>
          <w:b/>
          <w:bCs/>
          <w:color w:val="auto"/>
          <w:highlight w:val="none"/>
          <w:lang w:val="en-US" w:eastAsia="zh-CN"/>
        </w:rPr>
        <w:t xml:space="preserve">2  </w:t>
      </w:r>
      <w:r>
        <w:rPr>
          <w:rFonts w:hint="eastAsia"/>
          <w:b w:val="0"/>
          <w:bCs w:val="0"/>
          <w:color w:val="auto"/>
          <w:highlight w:val="none"/>
          <w:lang w:val="en-US" w:eastAsia="zh-CN"/>
        </w:rPr>
        <w:t>隔音材料：应符合现行国家标准《建筑隔声设计规范》 GB 50118的相关规定，且隔音效果应能满足当地施工对噪声的控制要求。</w:t>
      </w:r>
    </w:p>
    <w:p w14:paraId="311F553F">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auto"/>
          <w:highlight w:val="none"/>
          <w:lang w:val="en-US" w:eastAsia="zh-CN"/>
        </w:rPr>
      </w:pPr>
      <w:r>
        <w:rPr>
          <w:rFonts w:hint="eastAsia"/>
          <w:b/>
          <w:bCs/>
          <w:color w:val="auto"/>
          <w:highlight w:val="none"/>
          <w:lang w:val="en-US" w:eastAsia="zh-CN"/>
        </w:rPr>
        <w:t xml:space="preserve">3  </w:t>
      </w:r>
      <w:r>
        <w:rPr>
          <w:rFonts w:hint="eastAsia"/>
          <w:b w:val="0"/>
          <w:bCs w:val="0"/>
          <w:color w:val="auto"/>
          <w:highlight w:val="none"/>
          <w:lang w:val="en-US" w:eastAsia="zh-CN"/>
        </w:rPr>
        <w:t>安全网材料：应符合现行国家标准《坠落防护 安全网》GB 5725的相关规定。</w:t>
      </w:r>
    </w:p>
    <w:p w14:paraId="4AAB5E48">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auto"/>
          <w:highlight w:val="none"/>
          <w:lang w:val="en-US" w:eastAsia="zh-CN"/>
        </w:rPr>
        <w:t xml:space="preserve">4  </w:t>
      </w:r>
      <w:r>
        <w:rPr>
          <w:rFonts w:hint="eastAsia"/>
          <w:b w:val="0"/>
          <w:bCs w:val="0"/>
          <w:color w:val="auto"/>
          <w:highlight w:val="none"/>
          <w:lang w:val="en-US" w:eastAsia="zh-CN"/>
        </w:rPr>
        <w:t>铺板材料：可采用花纹钢板、钢格栅板、铝合金板或经防滑处理的钢板，其厚度应经设计计算按不同构造和具体荷载情况选用，并能满足承载力和防滑要求</w:t>
      </w:r>
      <w:r>
        <w:rPr>
          <w:rFonts w:hint="eastAsia"/>
          <w:color w:val="auto"/>
          <w:highlight w:val="none"/>
          <w:lang w:val="en-US" w:eastAsia="zh-CN"/>
        </w:rPr>
        <w:t>。</w:t>
      </w:r>
    </w:p>
    <w:p w14:paraId="4AE176BD">
      <w:pPr>
        <w:pStyle w:val="2"/>
        <w:spacing w:before="312" w:after="312"/>
        <w:jc w:val="both"/>
        <w:rPr>
          <w:rFonts w:ascii="Times New Roman" w:hAnsi="Times New Roman" w:eastAsia="宋体"/>
          <w:color w:val="000000" w:themeColor="text1"/>
          <w:sz w:val="30"/>
          <w:szCs w:val="30"/>
          <w14:textFill>
            <w14:solidFill>
              <w14:schemeClr w14:val="tx1"/>
            </w14:solidFill>
          </w14:textFill>
        </w:rPr>
      </w:pPr>
      <w:r>
        <w:rPr>
          <w:rFonts w:ascii="Times New Roman" w:hAnsi="Times New Roman" w:eastAsia="宋体"/>
          <w:color w:val="000000" w:themeColor="text1"/>
          <w:sz w:val="30"/>
          <w:szCs w:val="30"/>
          <w14:textFill>
            <w14:solidFill>
              <w14:schemeClr w14:val="tx1"/>
            </w14:solidFill>
          </w14:textFill>
        </w:rPr>
        <w:br w:type="page"/>
      </w:r>
    </w:p>
    <w:p w14:paraId="3DE26D17">
      <w:pPr>
        <w:pStyle w:val="2"/>
        <w:spacing w:before="312" w:after="312"/>
        <w:rPr>
          <w:rFonts w:hint="eastAsia" w:ascii="Times New Roman" w:hAnsi="Times New Roman" w:eastAsiaTheme="majorEastAsia"/>
          <w:color w:val="000000" w:themeColor="text1"/>
          <w:lang w:eastAsia="zh-CN"/>
          <w14:textFill>
            <w14:solidFill>
              <w14:schemeClr w14:val="tx1"/>
            </w14:solidFill>
          </w14:textFill>
        </w:rPr>
      </w:pPr>
      <w:bookmarkStart w:id="61" w:name="_Toc31063"/>
      <w:r>
        <w:rPr>
          <w:rFonts w:hint="eastAsia" w:ascii="Times New Roman" w:hAnsi="Times New Roman" w:eastAsia="宋体"/>
          <w:color w:val="000000" w:themeColor="text1"/>
          <w:sz w:val="30"/>
          <w:szCs w:val="30"/>
          <w:lang w:eastAsia="zh-CN"/>
          <w14:textFill>
            <w14:solidFill>
              <w14:schemeClr w14:val="tx1"/>
            </w14:solidFill>
          </w14:textFill>
        </w:rPr>
        <w:t>第</w:t>
      </w:r>
      <w:r>
        <w:rPr>
          <w:rFonts w:hint="eastAsia"/>
          <w:color w:val="000000" w:themeColor="text1"/>
          <w:sz w:val="30"/>
          <w:szCs w:val="30"/>
          <w:lang w:val="en-US" w:eastAsia="zh-CN"/>
          <w14:textFill>
            <w14:solidFill>
              <w14:schemeClr w14:val="tx1"/>
            </w14:solidFill>
          </w14:textFill>
        </w:rPr>
        <w:t>5</w:t>
      </w:r>
      <w:r>
        <w:rPr>
          <w:rFonts w:hint="eastAsia" w:ascii="Times New Roman" w:hAnsi="Times New Roman" w:eastAsia="宋体"/>
          <w:color w:val="000000" w:themeColor="text1"/>
          <w:sz w:val="30"/>
          <w:szCs w:val="30"/>
          <w:lang w:eastAsia="zh-CN"/>
          <w14:textFill>
            <w14:solidFill>
              <w14:schemeClr w14:val="tx1"/>
            </w14:solidFill>
          </w14:textFill>
        </w:rPr>
        <w:t>章</w:t>
      </w:r>
      <w:r>
        <w:rPr>
          <w:rFonts w:ascii="Times New Roman" w:hAnsi="Times New Roman"/>
          <w:color w:val="000000" w:themeColor="text1"/>
          <w14:textFill>
            <w14:solidFill>
              <w14:schemeClr w14:val="tx1"/>
            </w14:solidFill>
          </w14:textFill>
        </w:rPr>
        <w:t xml:space="preserve">  </w:t>
      </w:r>
      <w:bookmarkEnd w:id="53"/>
      <w:r>
        <w:rPr>
          <w:rFonts w:hint="eastAsia" w:ascii="Times New Roman" w:hAnsi="Times New Roman" w:eastAsia="宋体"/>
          <w:color w:val="000000" w:themeColor="text1"/>
          <w:lang w:val="en-US" w:eastAsia="zh-CN"/>
          <w14:textFill>
            <w14:solidFill>
              <w14:schemeClr w14:val="tx1"/>
            </w14:solidFill>
          </w14:textFill>
        </w:rPr>
        <w:t>设计</w:t>
      </w:r>
      <w:bookmarkEnd w:id="54"/>
      <w:bookmarkEnd w:id="61"/>
    </w:p>
    <w:bookmarkEnd w:id="55"/>
    <w:bookmarkEnd w:id="56"/>
    <w:bookmarkEnd w:id="57"/>
    <w:bookmarkEnd w:id="58"/>
    <w:bookmarkEnd w:id="59"/>
    <w:p w14:paraId="071A90D0">
      <w:pPr>
        <w:pStyle w:val="3"/>
      </w:pPr>
      <w:bookmarkStart w:id="62" w:name="_Toc493608149"/>
      <w:bookmarkStart w:id="63" w:name="_Toc3703"/>
      <w:bookmarkStart w:id="64" w:name="_Toc18867"/>
      <w:bookmarkStart w:id="65" w:name="_Toc5758"/>
      <w:bookmarkStart w:id="66" w:name="_Toc15726"/>
      <w:bookmarkStart w:id="67" w:name="_Toc452029045"/>
      <w:bookmarkStart w:id="68" w:name="_Toc429469184"/>
      <w:bookmarkStart w:id="69" w:name="_Toc387914009"/>
      <w:bookmarkStart w:id="70" w:name="_Toc417572939"/>
      <w:bookmarkStart w:id="71" w:name="_Toc493608153"/>
      <w:bookmarkStart w:id="72" w:name="_Toc417572990"/>
      <w:bookmarkStart w:id="73" w:name="_Toc417580846"/>
      <w:r>
        <w:rPr>
          <w:rFonts w:hint="eastAsia"/>
        </w:rPr>
        <w:t>5</w:t>
      </w:r>
      <w:r>
        <w:t xml:space="preserve">.1  </w:t>
      </w:r>
      <w:bookmarkEnd w:id="62"/>
      <w:r>
        <w:rPr>
          <w:rFonts w:hint="eastAsia"/>
        </w:rPr>
        <w:t>一般规定</w:t>
      </w:r>
      <w:bookmarkEnd w:id="63"/>
      <w:bookmarkEnd w:id="64"/>
      <w:bookmarkEnd w:id="65"/>
      <w:bookmarkEnd w:id="66"/>
    </w:p>
    <w:p w14:paraId="213222E7">
      <w:pPr>
        <w:rPr>
          <w:highlight w:val="none"/>
        </w:rPr>
      </w:pPr>
      <w:bookmarkStart w:id="74" w:name="_Toc1171"/>
      <w:r>
        <w:rPr>
          <w:rFonts w:hint="eastAsia"/>
          <w:b/>
          <w:bCs/>
          <w:highlight w:val="none"/>
        </w:rPr>
        <w:t>5</w:t>
      </w:r>
      <w:r>
        <w:rPr>
          <w:b/>
          <w:bCs/>
          <w:highlight w:val="none"/>
        </w:rPr>
        <w:t>.1.1</w:t>
      </w:r>
      <w:r>
        <w:rPr>
          <w:rFonts w:hint="eastAsia"/>
          <w:highlight w:val="none"/>
        </w:rPr>
        <w:t xml:space="preserve">  </w:t>
      </w:r>
      <w:bookmarkEnd w:id="74"/>
      <w:r>
        <w:rPr>
          <w:highlight w:val="none"/>
        </w:rPr>
        <w:t>集成平台设计应包括工艺设计和系统设计，并应包括下列内容：</w:t>
      </w:r>
    </w:p>
    <w:p w14:paraId="11CB46D3">
      <w:pPr>
        <w:pStyle w:val="8"/>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lang w:val="en-US" w:eastAsia="zh-CN"/>
        </w:rPr>
        <w:t>1</w:t>
      </w:r>
      <w:r>
        <w:rPr>
          <w:rFonts w:hint="default"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工艺设计包括功能设计、平面设计、立面设计。</w:t>
      </w:r>
    </w:p>
    <w:p w14:paraId="49E53782">
      <w:pPr>
        <w:pStyle w:val="8"/>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lang w:val="en-US" w:eastAsia="zh-CN"/>
        </w:rPr>
        <w:t>（1）</w:t>
      </w:r>
      <w:r>
        <w:rPr>
          <w:rFonts w:hint="default" w:ascii="Times New Roman" w:hAnsi="Times New Roman" w:eastAsia="宋体" w:cs="Times New Roman"/>
          <w:sz w:val="24"/>
          <w:szCs w:val="24"/>
          <w:lang w:val="en-US" w:eastAsia="zh-CN"/>
        </w:rPr>
        <w:t>功能设计应包括设施设备选型、堆载需求分析、交通组织设计等。</w:t>
      </w:r>
    </w:p>
    <w:p w14:paraId="456D3C0E">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（2）</w:t>
      </w:r>
      <w:r>
        <w:rPr>
          <w:rFonts w:hint="default" w:ascii="Times New Roman" w:hAnsi="Times New Roman" w:cs="Times New Roman"/>
          <w:sz w:val="24"/>
          <w:szCs w:val="24"/>
          <w:lang w:val="en-US" w:eastAsia="zh-CN"/>
        </w:rPr>
        <w:t>平面设计支座位置应根据建筑结构收进、转换、开孔、墙体厚度变化等综合确定，布置</w:t>
      </w:r>
      <w:r>
        <w:rPr>
          <w:rFonts w:hint="eastAsia" w:cs="Times New Roman"/>
          <w:sz w:val="24"/>
          <w:szCs w:val="24"/>
          <w:lang w:val="en-US" w:eastAsia="zh-CN"/>
        </w:rPr>
        <w:t>在</w:t>
      </w:r>
      <w:r>
        <w:rPr>
          <w:rFonts w:hint="default" w:ascii="Times New Roman" w:hAnsi="Times New Roman" w:cs="Times New Roman"/>
          <w:sz w:val="24"/>
          <w:szCs w:val="24"/>
          <w:lang w:val="en-US" w:eastAsia="zh-CN"/>
        </w:rPr>
        <w:t>竖向连续结构上。</w:t>
      </w:r>
    </w:p>
    <w:p w14:paraId="7F7BC2EB">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（3）</w:t>
      </w:r>
      <w:r>
        <w:rPr>
          <w:rFonts w:hint="default" w:ascii="Times New Roman" w:hAnsi="Times New Roman" w:cs="Times New Roman"/>
          <w:sz w:val="24"/>
          <w:szCs w:val="24"/>
          <w:lang w:val="en-US" w:eastAsia="zh-CN"/>
        </w:rPr>
        <w:t>立面设计应满足构件吊装、钢筋绑扎、混凝土浇筑及养护等多工序</w:t>
      </w:r>
      <w:r>
        <w:rPr>
          <w:rFonts w:hint="eastAsia" w:cs="Times New Roman"/>
          <w:sz w:val="24"/>
          <w:szCs w:val="24"/>
          <w:lang w:val="en-US" w:eastAsia="zh-CN"/>
        </w:rPr>
        <w:t>立体</w:t>
      </w:r>
      <w:r>
        <w:rPr>
          <w:rFonts w:hint="default" w:ascii="Times New Roman" w:hAnsi="Times New Roman" w:cs="Times New Roman"/>
          <w:sz w:val="24"/>
          <w:szCs w:val="24"/>
          <w:lang w:val="en-US" w:eastAsia="zh-CN"/>
        </w:rPr>
        <w:t>同步施工要求。</w:t>
      </w:r>
    </w:p>
    <w:p w14:paraId="049AC189">
      <w:pPr>
        <w:pStyle w:val="8"/>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lang w:val="en-US" w:eastAsia="zh-CN"/>
        </w:rPr>
        <w:t>2</w:t>
      </w:r>
      <w:r>
        <w:rPr>
          <w:rFonts w:hint="default"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系统设计宜包括</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结构设计（</w:t>
      </w:r>
      <w:r>
        <w:rPr>
          <w:rFonts w:hint="default" w:ascii="Times New Roman" w:hAnsi="Times New Roman" w:eastAsia="宋体" w:cs="Times New Roman"/>
          <w:sz w:val="24"/>
          <w:szCs w:val="24"/>
        </w:rPr>
        <w:t>支承系统设计、</w:t>
      </w:r>
      <w:r>
        <w:rPr>
          <w:rFonts w:hint="eastAsia" w:ascii="Times New Roman" w:hAnsi="Times New Roman" w:eastAsia="宋体" w:cs="Times New Roman"/>
          <w:sz w:val="24"/>
          <w:szCs w:val="24"/>
          <w:lang w:val="en-US" w:eastAsia="zh-CN"/>
        </w:rPr>
        <w:t>钢平台</w:t>
      </w:r>
      <w:r>
        <w:rPr>
          <w:rFonts w:hint="default" w:ascii="Times New Roman" w:hAnsi="Times New Roman" w:eastAsia="宋体" w:cs="Times New Roman"/>
          <w:sz w:val="24"/>
          <w:szCs w:val="24"/>
        </w:rPr>
        <w:t>系统设计</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动力系统设计、</w:t>
      </w:r>
      <w:r>
        <w:rPr>
          <w:rFonts w:hint="eastAsia" w:ascii="Times New Roman" w:hAnsi="Times New Roman" w:eastAsia="宋体" w:cs="Times New Roman"/>
          <w:strike w:val="0"/>
          <w:dstrike w:val="0"/>
          <w:sz w:val="24"/>
          <w:szCs w:val="24"/>
          <w:lang w:val="en-US" w:eastAsia="zh-CN"/>
        </w:rPr>
        <w:t>电气系统设计、</w:t>
      </w:r>
      <w:r>
        <w:rPr>
          <w:rFonts w:hint="default" w:ascii="Times New Roman" w:hAnsi="Times New Roman" w:eastAsia="宋体" w:cs="Times New Roman"/>
          <w:strike w:val="0"/>
          <w:dstrike w:val="0"/>
          <w:sz w:val="24"/>
          <w:szCs w:val="24"/>
        </w:rPr>
        <w:t>监测系统设计</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模板与作业附属系统</w:t>
      </w:r>
      <w:r>
        <w:rPr>
          <w:rFonts w:hint="default" w:ascii="Times New Roman" w:hAnsi="Times New Roman" w:eastAsia="宋体" w:cs="Times New Roman"/>
          <w:sz w:val="24"/>
          <w:szCs w:val="24"/>
        </w:rPr>
        <w:t>设计</w:t>
      </w:r>
      <w:r>
        <w:rPr>
          <w:rFonts w:hint="default" w:ascii="Times New Roman" w:hAnsi="Times New Roman" w:eastAsia="宋体" w:cs="Times New Roman"/>
          <w:strike w:val="0"/>
          <w:dstrike w:val="0"/>
          <w:sz w:val="24"/>
          <w:szCs w:val="24"/>
        </w:rPr>
        <w:t>、</w:t>
      </w:r>
      <w:r>
        <w:rPr>
          <w:rFonts w:hint="default" w:ascii="Times New Roman" w:hAnsi="Times New Roman" w:eastAsia="宋体" w:cs="Times New Roman"/>
          <w:sz w:val="24"/>
          <w:szCs w:val="24"/>
        </w:rPr>
        <w:t>集成装备设计</w:t>
      </w:r>
      <w:r>
        <w:rPr>
          <w:rFonts w:hint="default" w:ascii="Times New Roman" w:hAnsi="Times New Roman" w:eastAsia="宋体" w:cs="Times New Roman"/>
          <w:sz w:val="24"/>
          <w:szCs w:val="24"/>
          <w:lang w:val="en-US" w:eastAsia="zh-CN"/>
        </w:rPr>
        <w:t>等。结构设计包括</w:t>
      </w:r>
      <w:r>
        <w:rPr>
          <w:rFonts w:hint="default" w:ascii="Times New Roman" w:hAnsi="Times New Roman" w:eastAsia="宋体" w:cs="Times New Roman"/>
          <w:sz w:val="24"/>
          <w:szCs w:val="24"/>
        </w:rPr>
        <w:t>结构选型、构件布置</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材料选用及截面选择</w:t>
      </w:r>
      <w:r>
        <w:rPr>
          <w:rFonts w:hint="default"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荷载</w:t>
      </w:r>
      <w:r>
        <w:rPr>
          <w:rFonts w:hint="default" w:ascii="Times New Roman" w:hAnsi="Times New Roman" w:eastAsia="宋体" w:cs="Times New Roman"/>
          <w:sz w:val="24"/>
          <w:szCs w:val="24"/>
        </w:rPr>
        <w:t>及作用效应分析</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结构的极限状态验算</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构件连接构造设计；</w:t>
      </w:r>
    </w:p>
    <w:p w14:paraId="3963B084">
      <w:pPr>
        <w:pStyle w:val="8"/>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lang w:val="en-US" w:eastAsia="zh-CN"/>
        </w:rPr>
        <w:t>3</w:t>
      </w:r>
      <w:r>
        <w:rPr>
          <w:rFonts w:hint="default"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集成平台设计应满足</w:t>
      </w:r>
      <w:r>
        <w:rPr>
          <w:rFonts w:hint="default" w:ascii="Times New Roman" w:hAnsi="Times New Roman" w:eastAsia="宋体" w:cs="Times New Roman"/>
          <w:sz w:val="24"/>
          <w:szCs w:val="24"/>
        </w:rPr>
        <w:t>制作、运输、安装、防腐、防火和防雷等要求。</w:t>
      </w:r>
    </w:p>
    <w:p w14:paraId="501835E6">
      <w:pPr>
        <w:keepNext w:val="0"/>
        <w:keepLines w:val="0"/>
        <w:pageBreakBefore w:val="0"/>
        <w:widowControl w:val="0"/>
        <w:tabs>
          <w:tab w:val="left" w:pos="963"/>
        </w:tabs>
        <w:kinsoku/>
        <w:wordWrap/>
        <w:overflowPunct/>
        <w:topLinePunct w:val="0"/>
        <w:autoSpaceDE w:val="0"/>
        <w:autoSpaceDN w:val="0"/>
        <w:bidi w:val="0"/>
        <w:adjustRightInd/>
        <w:snapToGrid/>
        <w:spacing w:before="156" w:line="360" w:lineRule="auto"/>
        <w:textAlignment w:val="auto"/>
        <w:rPr>
          <w:rFonts w:hint="default" w:ascii="Times New Roman" w:hAnsi="Times New Roman" w:cs="Times New Roman"/>
          <w:spacing w:val="-2"/>
          <w:highlight w:val="none"/>
        </w:rPr>
      </w:pPr>
      <w:bookmarkStart w:id="75" w:name="_Toc9596"/>
      <w:r>
        <w:rPr>
          <w:rFonts w:hint="default" w:ascii="Times New Roman" w:hAnsi="Times New Roman" w:cs="Times New Roman"/>
          <w:b/>
          <w:bCs/>
        </w:rPr>
        <w:t>5.1.2</w:t>
      </w:r>
      <w:r>
        <w:rPr>
          <w:rFonts w:hint="default" w:ascii="Times New Roman" w:hAnsi="Times New Roman" w:cs="Times New Roman"/>
        </w:rPr>
        <w:t xml:space="preserve">  </w:t>
      </w:r>
      <w:bookmarkEnd w:id="75"/>
      <w:bookmarkStart w:id="76" w:name="_Toc20420"/>
      <w:r>
        <w:rPr>
          <w:rFonts w:hint="default" w:ascii="Times New Roman" w:hAnsi="Times New Roman" w:eastAsia="宋体" w:cs="Times New Roman"/>
          <w:color w:val="000000" w:themeColor="text1"/>
          <w:lang w:val="en-US" w:eastAsia="zh-CN"/>
          <w14:textFill>
            <w14:solidFill>
              <w14:schemeClr w14:val="tx1"/>
            </w14:solidFill>
          </w14:textFill>
        </w:rPr>
        <w:t>集成平台结构</w:t>
      </w:r>
      <w:r>
        <w:rPr>
          <w:rFonts w:hint="default" w:ascii="Times New Roman" w:hAnsi="Times New Roman" w:cs="Times New Roman"/>
          <w:color w:val="000000" w:themeColor="text1"/>
          <w:lang w:val="en-US" w:eastAsia="zh-CN"/>
          <w14:textFill>
            <w14:solidFill>
              <w14:schemeClr w14:val="tx1"/>
            </w14:solidFill>
          </w14:textFill>
        </w:rPr>
        <w:t>设计</w:t>
      </w:r>
      <w:r>
        <w:rPr>
          <w:rFonts w:hint="default" w:ascii="Times New Roman" w:hAnsi="Times New Roman" w:eastAsia="宋体" w:cs="Times New Roman"/>
          <w:color w:val="000000" w:themeColor="text1"/>
          <w:lang w:val="en-US" w:eastAsia="zh-CN"/>
          <w14:textFill>
            <w14:solidFill>
              <w14:schemeClr w14:val="tx1"/>
            </w14:solidFill>
          </w14:textFill>
        </w:rPr>
        <w:t>应符合现行国家标准《钢结构设计标准》GB 50017</w:t>
      </w:r>
      <w:r>
        <w:rPr>
          <w:rFonts w:hint="default" w:ascii="Times New Roman" w:hAnsi="Times New Roman" w:eastAsia="宋体" w:cs="Times New Roman"/>
          <w:color w:val="000000" w:themeColor="text1"/>
          <w:highlight w:val="none"/>
          <w:lang w:val="en-US" w:eastAsia="zh-CN"/>
          <w14:textFill>
            <w14:solidFill>
              <w14:schemeClr w14:val="tx1"/>
            </w14:solidFill>
          </w14:textFill>
        </w:rPr>
        <w:t xml:space="preserve"> 的有关规定。</w:t>
      </w:r>
    </w:p>
    <w:p w14:paraId="4F37B1AE">
      <w:pPr>
        <w:tabs>
          <w:tab w:val="left" w:pos="960"/>
        </w:tabs>
        <w:autoSpaceDE w:val="0"/>
        <w:autoSpaceDN w:val="0"/>
        <w:spacing w:before="156"/>
        <w:ind w:right="805"/>
        <w:rPr>
          <w:rFonts w:hint="default" w:ascii="Times New Roman" w:hAnsi="Times New Roman" w:cs="Times New Roman"/>
          <w:spacing w:val="-2"/>
          <w:highlight w:val="none"/>
        </w:rPr>
      </w:pPr>
      <w:r>
        <w:rPr>
          <w:rFonts w:hint="default" w:ascii="Times New Roman" w:hAnsi="Times New Roman" w:cs="Times New Roman"/>
          <w:b/>
          <w:bCs/>
          <w:highlight w:val="none"/>
        </w:rPr>
        <w:t>5.1.3</w:t>
      </w:r>
      <w:r>
        <w:rPr>
          <w:rFonts w:hint="default" w:ascii="Times New Roman" w:hAnsi="Times New Roman" w:cs="Times New Roman"/>
          <w:highlight w:val="none"/>
        </w:rPr>
        <w:t xml:space="preserve">  </w:t>
      </w:r>
      <w:bookmarkEnd w:id="76"/>
      <w:r>
        <w:rPr>
          <w:rFonts w:hint="default" w:ascii="Times New Roman" w:hAnsi="Times New Roman" w:cs="Times New Roman"/>
          <w:spacing w:val="-4"/>
          <w:highlight w:val="none"/>
        </w:rPr>
        <w:t>集成平台结构和承载集成平台的主体结构应按作业、</w:t>
      </w:r>
      <w:r>
        <w:rPr>
          <w:rFonts w:hint="default" w:ascii="Times New Roman" w:hAnsi="Times New Roman" w:cs="Times New Roman"/>
          <w:spacing w:val="-4"/>
          <w:highlight w:val="none"/>
          <w:lang w:val="en-US" w:eastAsia="zh-CN"/>
        </w:rPr>
        <w:t>顶升</w:t>
      </w:r>
      <w:r>
        <w:rPr>
          <w:rFonts w:hint="eastAsia" w:cs="Times New Roman"/>
          <w:spacing w:val="-4"/>
          <w:highlight w:val="none"/>
          <w:lang w:val="en-US" w:eastAsia="zh-CN"/>
        </w:rPr>
        <w:t>、</w:t>
      </w:r>
      <w:r>
        <w:rPr>
          <w:rFonts w:hint="default" w:ascii="Times New Roman" w:hAnsi="Times New Roman" w:cs="Times New Roman"/>
          <w:spacing w:val="-4"/>
          <w:highlight w:val="none"/>
          <w:lang w:val="en-US" w:eastAsia="zh-CN"/>
        </w:rPr>
        <w:t>提升</w:t>
      </w:r>
      <w:r>
        <w:rPr>
          <w:rFonts w:hint="default" w:ascii="Times New Roman" w:hAnsi="Times New Roman" w:cs="Times New Roman"/>
          <w:spacing w:val="-4"/>
          <w:highlight w:val="none"/>
        </w:rPr>
        <w:t>、停工</w:t>
      </w:r>
      <w:r>
        <w:rPr>
          <w:rFonts w:hint="default" w:ascii="Times New Roman" w:hAnsi="Times New Roman" w:cs="Times New Roman"/>
          <w:spacing w:val="-4"/>
          <w:highlight w:val="none"/>
          <w:lang w:val="en-US" w:eastAsia="zh-CN"/>
        </w:rPr>
        <w:t>四</w:t>
      </w:r>
      <w:r>
        <w:rPr>
          <w:rFonts w:hint="default" w:ascii="Times New Roman" w:hAnsi="Times New Roman" w:cs="Times New Roman"/>
          <w:spacing w:val="-2"/>
          <w:highlight w:val="none"/>
        </w:rPr>
        <w:t>种工况分别进行强度、刚度及稳定性计算。</w:t>
      </w:r>
    </w:p>
    <w:p w14:paraId="19B44CDF">
      <w:pPr>
        <w:tabs>
          <w:tab w:val="left" w:pos="960"/>
        </w:tabs>
        <w:autoSpaceDE w:val="0"/>
        <w:autoSpaceDN w:val="0"/>
        <w:spacing w:before="156"/>
        <w:ind w:right="805"/>
        <w:rPr>
          <w:color w:val="000000" w:themeColor="text1"/>
          <w14:textFill>
            <w14:solidFill>
              <w14:schemeClr w14:val="tx1"/>
            </w14:solidFill>
          </w14:textFill>
        </w:rPr>
      </w:pPr>
      <w:r>
        <w:rPr>
          <w:rFonts w:hint="eastAsia"/>
          <w:b/>
          <w:bCs/>
          <w:color w:val="000000" w:themeColor="text1"/>
          <w14:textFill>
            <w14:solidFill>
              <w14:schemeClr w14:val="tx1"/>
            </w14:solidFill>
          </w14:textFill>
        </w:rPr>
        <w:t xml:space="preserve">5.1.4  </w:t>
      </w:r>
      <w:r>
        <w:rPr>
          <w:rFonts w:hint="eastAsia"/>
          <w:color w:val="000000" w:themeColor="text1"/>
          <w14:textFill>
            <w14:solidFill>
              <w14:schemeClr w14:val="tx1"/>
            </w14:solidFill>
          </w14:textFill>
        </w:rPr>
        <w:t>集成平台的设计应采用极限状态设计法，并应符合下列规定：</w:t>
      </w:r>
    </w:p>
    <w:p w14:paraId="17F2EECE">
      <w:pPr>
        <w:tabs>
          <w:tab w:val="left" w:pos="480"/>
        </w:tabs>
        <w:autoSpaceDE w:val="0"/>
        <w:autoSpaceDN w:val="0"/>
        <w:spacing w:before="156"/>
        <w:ind w:right="805"/>
        <w:rPr>
          <w:color w:val="000000" w:themeColor="text1"/>
          <w14:textFill>
            <w14:solidFill>
              <w14:schemeClr w14:val="tx1"/>
            </w14:solidFill>
          </w14:textFill>
        </w:rPr>
      </w:pPr>
      <w:r>
        <w:rPr>
          <w:color w:val="000000" w:themeColor="text1"/>
          <w14:textFill>
            <w14:solidFill>
              <w14:schemeClr w14:val="tx1"/>
            </w14:solidFill>
          </w14:textFill>
        </w:rPr>
        <w:tab/>
      </w:r>
      <w:r>
        <w:rPr>
          <w:rFonts w:hint="eastAsia"/>
          <w:b/>
          <w:bCs/>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整体钢平台结构及构件的承载力应按下式验算：</w:t>
      </w:r>
    </w:p>
    <w:p w14:paraId="7E3D7C55">
      <w:pPr>
        <w:tabs>
          <w:tab w:val="left" w:pos="480"/>
        </w:tabs>
        <w:autoSpaceDE w:val="0"/>
        <w:autoSpaceDN w:val="0"/>
        <w:spacing w:before="156"/>
        <w:ind w:right="805"/>
        <w:jc w:val="center"/>
        <w:rPr>
          <w:color w:val="000000" w:themeColor="text1"/>
          <w14:textFill>
            <w14:solidFill>
              <w14:schemeClr w14:val="tx1"/>
            </w14:solidFill>
          </w14:textFill>
        </w:rPr>
      </w:pPr>
      <w:r>
        <w:rPr>
          <w:color w:val="000000" w:themeColor="text1"/>
          <w14:textFill>
            <w14:solidFill>
              <w14:schemeClr w14:val="tx1"/>
            </w14:solidFill>
          </w14:textFill>
        </w:rPr>
        <w:t>γ</w:t>
      </w:r>
      <w:r>
        <w:rPr>
          <w:rFonts w:hint="eastAsia"/>
          <w:color w:val="000000" w:themeColor="text1"/>
          <w:vertAlign w:val="subscript"/>
          <w14:textFill>
            <w14:solidFill>
              <w14:schemeClr w14:val="tx1"/>
            </w14:solidFill>
          </w14:textFill>
        </w:rPr>
        <w:t>0</w:t>
      </w:r>
      <w:r>
        <w:rPr>
          <w:rFonts w:hint="eastAsia"/>
          <w:color w:val="000000" w:themeColor="text1"/>
          <w14:textFill>
            <w14:solidFill>
              <w14:schemeClr w14:val="tx1"/>
            </w14:solidFill>
          </w14:textFill>
        </w:rPr>
        <w:t>S</w:t>
      </w:r>
      <w:r>
        <w:rPr>
          <w:rFonts w:hint="eastAsia"/>
          <w:color w:val="000000" w:themeColor="text1"/>
          <w:vertAlign w:val="subscript"/>
          <w14:textFill>
            <w14:solidFill>
              <w14:schemeClr w14:val="tx1"/>
            </w14:solidFill>
          </w14:textFill>
        </w:rPr>
        <w:t>d</w:t>
      </w:r>
      <w:r>
        <w:rPr>
          <w:rFonts w:hint="eastAsia"/>
          <w:color w:val="000000" w:themeColor="text1"/>
          <w14:textFill>
            <w14:solidFill>
              <w14:schemeClr w14:val="tx1"/>
            </w14:solidFill>
          </w14:textFill>
        </w:rPr>
        <w:t>≤R</w:t>
      </w:r>
      <w:r>
        <w:rPr>
          <w:rFonts w:hint="eastAsia"/>
          <w:color w:val="000000" w:themeColor="text1"/>
          <w:vertAlign w:val="subscript"/>
          <w14:textFill>
            <w14:solidFill>
              <w14:schemeClr w14:val="tx1"/>
            </w14:solidFill>
          </w14:textFill>
        </w:rPr>
        <w:t>d</w:t>
      </w:r>
    </w:p>
    <w:p w14:paraId="232FA7D6">
      <w:pPr>
        <w:pStyle w:val="11"/>
        <w:spacing w:before="111"/>
        <w:rPr>
          <w:rFonts w:ascii="Times New Roman" w:hAnsi="Times New Roman"/>
          <w:color w:val="000000" w:themeColor="text1"/>
          <w:kern w:val="2"/>
          <w:sz w:val="24"/>
          <w:szCs w:val="24"/>
          <w:lang w:eastAsia="zh-CN"/>
          <w14:textFill>
            <w14:solidFill>
              <w14:schemeClr w14:val="tx1"/>
            </w14:solidFill>
          </w14:textFill>
        </w:rPr>
      </w:pPr>
      <w:r>
        <w:rPr>
          <w:rFonts w:ascii="Times New Roman" w:hAnsi="Times New Roman"/>
          <w:color w:val="000000" w:themeColor="text1"/>
          <w:kern w:val="2"/>
          <w:sz w:val="24"/>
          <w:szCs w:val="24"/>
          <w:lang w:eastAsia="zh-CN"/>
          <w14:textFill>
            <w14:solidFill>
              <w14:schemeClr w14:val="tx1"/>
            </w14:solidFill>
          </w14:textFill>
        </w:rPr>
        <w:t>式中</w:t>
      </w:r>
      <w:r>
        <w:rPr>
          <w:rFonts w:hint="eastAsia" w:ascii="Times New Roman" w:hAnsi="Times New Roman"/>
          <w:color w:val="000000" w:themeColor="text1"/>
          <w:kern w:val="2"/>
          <w:sz w:val="24"/>
          <w:szCs w:val="24"/>
          <w:lang w:eastAsia="zh-CN"/>
          <w14:textFill>
            <w14:solidFill>
              <w14:schemeClr w14:val="tx1"/>
            </w14:solidFill>
          </w14:textFill>
        </w:rPr>
        <w:t>：</w:t>
      </w:r>
      <w:r>
        <w:rPr>
          <w:color w:val="000000" w:themeColor="text1"/>
          <w:lang w:eastAsia="zh-CN"/>
          <w14:textFill>
            <w14:solidFill>
              <w14:schemeClr w14:val="tx1"/>
            </w14:solidFill>
          </w14:textFill>
        </w:rPr>
        <w:t xml:space="preserve"> </w:t>
      </w:r>
      <w:r>
        <w:rPr>
          <w:rFonts w:ascii="Times New Roman" w:hAnsi="Times New Roman"/>
          <w:color w:val="000000" w:themeColor="text1"/>
          <w:kern w:val="2"/>
          <w:sz w:val="24"/>
          <w:szCs w:val="24"/>
          <w:lang w:eastAsia="zh-CN"/>
          <w14:textFill>
            <w14:solidFill>
              <w14:schemeClr w14:val="tx1"/>
            </w14:solidFill>
          </w14:textFill>
        </w:rPr>
        <w:t>γ</w:t>
      </w:r>
      <w:r>
        <w:rPr>
          <w:rFonts w:hint="eastAsia" w:ascii="Times New Roman" w:hAnsi="Times New Roman"/>
          <w:color w:val="000000" w:themeColor="text1"/>
          <w:kern w:val="2"/>
          <w:sz w:val="24"/>
          <w:szCs w:val="24"/>
          <w:vertAlign w:val="subscript"/>
          <w:lang w:eastAsia="zh-CN"/>
          <w14:textFill>
            <w14:solidFill>
              <w14:schemeClr w14:val="tx1"/>
            </w14:solidFill>
          </w14:textFill>
        </w:rPr>
        <w:t>0</w:t>
      </w:r>
      <w:r>
        <w:rPr>
          <w:rFonts w:ascii="Times New Roman" w:hAnsi="Times New Roman"/>
          <w:color w:val="000000" w:themeColor="text1"/>
          <w:kern w:val="2"/>
          <w:sz w:val="24"/>
          <w:szCs w:val="24"/>
          <w:lang w:eastAsia="zh-CN"/>
          <w14:textFill>
            <w14:solidFill>
              <w14:schemeClr w14:val="tx1"/>
            </w14:solidFill>
          </w14:textFill>
        </w:rPr>
        <w:t>——</w:t>
      </w:r>
      <w:r>
        <w:rPr>
          <w:rFonts w:hint="eastAsia" w:ascii="Times New Roman" w:hAnsi="Times New Roman"/>
          <w:color w:val="000000" w:themeColor="text1"/>
          <w:kern w:val="2"/>
          <w:sz w:val="24"/>
          <w:szCs w:val="24"/>
          <w:lang w:eastAsia="zh-CN"/>
          <w14:textFill>
            <w14:solidFill>
              <w14:schemeClr w14:val="tx1"/>
            </w14:solidFill>
          </w14:textFill>
        </w:rPr>
        <w:t>结构的重要性系数，可取0.9</w:t>
      </w:r>
      <w:r>
        <w:rPr>
          <w:rFonts w:ascii="Times New Roman" w:hAnsi="Times New Roman"/>
          <w:color w:val="000000" w:themeColor="text1"/>
          <w:kern w:val="2"/>
          <w:sz w:val="24"/>
          <w:szCs w:val="24"/>
          <w:lang w:eastAsia="zh-CN"/>
          <w14:textFill>
            <w14:solidFill>
              <w14:schemeClr w14:val="tx1"/>
            </w14:solidFill>
          </w14:textFill>
        </w:rPr>
        <w:t>；</w:t>
      </w:r>
    </w:p>
    <w:p w14:paraId="76469348">
      <w:pPr>
        <w:pStyle w:val="11"/>
        <w:spacing w:before="226"/>
        <w:ind w:firstLine="310"/>
        <w:rPr>
          <w:rFonts w:ascii="Times New Roman" w:hAnsi="Times New Roman"/>
          <w:color w:val="000000" w:themeColor="text1"/>
          <w:kern w:val="2"/>
          <w:sz w:val="24"/>
          <w:szCs w:val="24"/>
          <w:lang w:eastAsia="zh-CN"/>
          <w14:textFill>
            <w14:solidFill>
              <w14:schemeClr w14:val="tx1"/>
            </w14:solidFill>
          </w14:textFill>
        </w:rPr>
      </w:pPr>
      <w:r>
        <w:rPr>
          <w:rFonts w:hint="eastAsia" w:ascii="Times New Roman" w:hAnsi="Times New Roman"/>
          <w:color w:val="000000" w:themeColor="text1"/>
          <w:kern w:val="2"/>
          <w:sz w:val="24"/>
          <w:szCs w:val="24"/>
          <w:lang w:eastAsia="zh-CN"/>
          <w14:textFill>
            <w14:solidFill>
              <w14:schemeClr w14:val="tx1"/>
            </w14:solidFill>
          </w14:textFill>
        </w:rPr>
        <w:t>S</w:t>
      </w:r>
      <w:r>
        <w:rPr>
          <w:rFonts w:hint="eastAsia" w:ascii="Times New Roman" w:hAnsi="Times New Roman"/>
          <w:color w:val="000000" w:themeColor="text1"/>
          <w:kern w:val="2"/>
          <w:sz w:val="24"/>
          <w:szCs w:val="24"/>
          <w:vertAlign w:val="subscript"/>
          <w:lang w:eastAsia="zh-CN"/>
          <w14:textFill>
            <w14:solidFill>
              <w14:schemeClr w14:val="tx1"/>
            </w14:solidFill>
          </w14:textFill>
        </w:rPr>
        <w:t>d</w:t>
      </w:r>
      <w:r>
        <w:rPr>
          <w:rFonts w:ascii="Times New Roman" w:hAnsi="Times New Roman"/>
          <w:color w:val="000000" w:themeColor="text1"/>
          <w:kern w:val="2"/>
          <w:sz w:val="24"/>
          <w:szCs w:val="24"/>
          <w:lang w:eastAsia="zh-CN"/>
          <w14:textFill>
            <w14:solidFill>
              <w14:schemeClr w14:val="tx1"/>
            </w14:solidFill>
          </w14:textFill>
        </w:rPr>
        <w:t>——</w:t>
      </w:r>
      <w:r>
        <w:rPr>
          <w:rFonts w:hint="eastAsia" w:ascii="Times New Roman" w:hAnsi="Times New Roman"/>
          <w:color w:val="000000" w:themeColor="text1"/>
          <w:kern w:val="2"/>
          <w:sz w:val="24"/>
          <w:szCs w:val="24"/>
          <w:lang w:eastAsia="zh-CN"/>
          <w14:textFill>
            <w14:solidFill>
              <w14:schemeClr w14:val="tx1"/>
            </w14:solidFill>
          </w14:textFill>
        </w:rPr>
        <w:t>作用组合的效应设计值，按基本组合确定</w:t>
      </w:r>
      <w:r>
        <w:rPr>
          <w:rFonts w:ascii="Times New Roman" w:hAnsi="Times New Roman"/>
          <w:color w:val="000000" w:themeColor="text1"/>
          <w:kern w:val="2"/>
          <w:sz w:val="24"/>
          <w:szCs w:val="24"/>
          <w:lang w:eastAsia="zh-CN"/>
          <w14:textFill>
            <w14:solidFill>
              <w14:schemeClr w14:val="tx1"/>
            </w14:solidFill>
          </w14:textFill>
        </w:rPr>
        <w:t>；</w:t>
      </w:r>
    </w:p>
    <w:p w14:paraId="0C8D297F">
      <w:pPr>
        <w:pStyle w:val="11"/>
        <w:spacing w:before="242"/>
        <w:ind w:left="420" w:right="4930"/>
        <w:rPr>
          <w:rFonts w:ascii="Times New Roman" w:hAnsi="Times New Roman"/>
          <w:color w:val="000000" w:themeColor="text1"/>
          <w:kern w:val="2"/>
          <w:sz w:val="24"/>
          <w:szCs w:val="24"/>
          <w:lang w:eastAsia="zh-CN"/>
          <w14:textFill>
            <w14:solidFill>
              <w14:schemeClr w14:val="tx1"/>
            </w14:solidFill>
          </w14:textFill>
        </w:rPr>
      </w:pPr>
      <w:r>
        <w:rPr>
          <w:rFonts w:hint="eastAsia" w:ascii="Times New Roman" w:hAnsi="Times New Roman"/>
          <w:color w:val="000000" w:themeColor="text1"/>
          <w:kern w:val="2"/>
          <w:sz w:val="24"/>
          <w:szCs w:val="24"/>
          <w:lang w:eastAsia="zh-CN"/>
          <w14:textFill>
            <w14:solidFill>
              <w14:schemeClr w14:val="tx1"/>
            </w14:solidFill>
          </w14:textFill>
        </w:rPr>
        <w:t>R</w:t>
      </w:r>
      <w:r>
        <w:rPr>
          <w:rFonts w:hint="eastAsia" w:ascii="Times New Roman" w:hAnsi="Times New Roman"/>
          <w:color w:val="000000" w:themeColor="text1"/>
          <w:kern w:val="2"/>
          <w:sz w:val="24"/>
          <w:szCs w:val="24"/>
          <w:vertAlign w:val="subscript"/>
          <w:lang w:eastAsia="zh-CN"/>
          <w14:textFill>
            <w14:solidFill>
              <w14:schemeClr w14:val="tx1"/>
            </w14:solidFill>
          </w14:textFill>
        </w:rPr>
        <w:t>d</w:t>
      </w:r>
      <w:r>
        <w:rPr>
          <w:rFonts w:ascii="Times New Roman" w:hAnsi="Times New Roman"/>
          <w:color w:val="000000" w:themeColor="text1"/>
          <w:kern w:val="2"/>
          <w:sz w:val="24"/>
          <w:szCs w:val="24"/>
          <w:lang w:eastAsia="zh-CN"/>
          <w14:textFill>
            <w14:solidFill>
              <w14:schemeClr w14:val="tx1"/>
            </w14:solidFill>
          </w14:textFill>
        </w:rPr>
        <w:t>——</w:t>
      </w:r>
      <w:r>
        <w:rPr>
          <w:rFonts w:hint="eastAsia" w:ascii="Times New Roman" w:hAnsi="Times New Roman"/>
          <w:color w:val="000000" w:themeColor="text1"/>
          <w:kern w:val="2"/>
          <w:sz w:val="24"/>
          <w:szCs w:val="24"/>
          <w:lang w:eastAsia="zh-CN"/>
          <w14:textFill>
            <w14:solidFill>
              <w14:schemeClr w14:val="tx1"/>
            </w14:solidFill>
          </w14:textFill>
        </w:rPr>
        <w:t>结构或构件承载力设计值</w:t>
      </w:r>
      <w:r>
        <w:rPr>
          <w:rFonts w:ascii="Times New Roman" w:hAnsi="Times New Roman"/>
          <w:color w:val="000000" w:themeColor="text1"/>
          <w:kern w:val="2"/>
          <w:sz w:val="24"/>
          <w:szCs w:val="24"/>
          <w:lang w:eastAsia="zh-CN"/>
          <w14:textFill>
            <w14:solidFill>
              <w14:schemeClr w14:val="tx1"/>
            </w14:solidFill>
          </w14:textFill>
        </w:rPr>
        <w:t xml:space="preserve">； </w:t>
      </w:r>
    </w:p>
    <w:p w14:paraId="60D6B22B">
      <w:pPr>
        <w:tabs>
          <w:tab w:val="left" w:pos="480"/>
        </w:tabs>
        <w:autoSpaceDE w:val="0"/>
        <w:autoSpaceDN w:val="0"/>
        <w:spacing w:before="156"/>
        <w:ind w:right="805"/>
        <w:jc w:val="center"/>
        <w:rPr>
          <w:color w:val="000000" w:themeColor="text1"/>
          <w14:textFill>
            <w14:solidFill>
              <w14:schemeClr w14:val="tx1"/>
            </w14:solidFill>
          </w14:textFill>
        </w:rPr>
      </w:pPr>
    </w:p>
    <w:p w14:paraId="19E12C3E">
      <w:pPr>
        <w:tabs>
          <w:tab w:val="left" w:pos="480"/>
        </w:tabs>
        <w:autoSpaceDE w:val="0"/>
        <w:autoSpaceDN w:val="0"/>
        <w:spacing w:before="156"/>
        <w:ind w:right="805"/>
        <w:rPr>
          <w:color w:val="000000" w:themeColor="text1"/>
          <w14:textFill>
            <w14:solidFill>
              <w14:schemeClr w14:val="tx1"/>
            </w14:solidFill>
          </w14:textFill>
        </w:rPr>
      </w:pPr>
      <w:r>
        <w:rPr>
          <w:color w:val="000000" w:themeColor="text1"/>
          <w14:textFill>
            <w14:solidFill>
              <w14:schemeClr w14:val="tx1"/>
            </w14:solidFill>
          </w14:textFill>
        </w:rPr>
        <w:tab/>
      </w:r>
      <w:r>
        <w:rPr>
          <w:rFonts w:hint="eastAsia"/>
          <w:b/>
          <w:bCs/>
          <w:color w:val="000000" w:themeColor="text1"/>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集成平台结构及构件的变形应按下式验算：</w:t>
      </w:r>
    </w:p>
    <w:p w14:paraId="77B40462">
      <w:pPr>
        <w:tabs>
          <w:tab w:val="left" w:pos="480"/>
        </w:tabs>
        <w:autoSpaceDE w:val="0"/>
        <w:autoSpaceDN w:val="0"/>
        <w:spacing w:before="156"/>
        <w:ind w:right="8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S</w:t>
      </w:r>
      <w:r>
        <w:rPr>
          <w:rFonts w:hint="eastAsia"/>
          <w:color w:val="000000" w:themeColor="text1"/>
          <w:vertAlign w:val="subscript"/>
          <w14:textFill>
            <w14:solidFill>
              <w14:schemeClr w14:val="tx1"/>
            </w14:solidFill>
          </w14:textFill>
        </w:rPr>
        <w:t>d</w:t>
      </w:r>
      <w:r>
        <w:rPr>
          <w:rFonts w:hint="eastAsia"/>
          <w:color w:val="000000" w:themeColor="text1"/>
          <w14:textFill>
            <w14:solidFill>
              <w14:schemeClr w14:val="tx1"/>
            </w14:solidFill>
          </w14:textFill>
        </w:rPr>
        <w:t>≤C</w:t>
      </w:r>
    </w:p>
    <w:p w14:paraId="514962BF">
      <w:pPr>
        <w:pStyle w:val="11"/>
        <w:spacing w:before="111"/>
        <w:rPr>
          <w:rFonts w:ascii="Times New Roman" w:hAnsi="Times New Roman"/>
          <w:color w:val="000000" w:themeColor="text1"/>
          <w:kern w:val="2"/>
          <w:sz w:val="24"/>
          <w:szCs w:val="24"/>
          <w:lang w:eastAsia="zh-CN"/>
          <w14:textFill>
            <w14:solidFill>
              <w14:schemeClr w14:val="tx1"/>
            </w14:solidFill>
          </w14:textFill>
        </w:rPr>
      </w:pPr>
      <w:r>
        <w:rPr>
          <w:rFonts w:ascii="Times New Roman" w:hAnsi="Times New Roman"/>
          <w:color w:val="000000" w:themeColor="text1"/>
          <w:kern w:val="2"/>
          <w:sz w:val="24"/>
          <w:szCs w:val="24"/>
          <w:lang w:eastAsia="zh-CN"/>
          <w14:textFill>
            <w14:solidFill>
              <w14:schemeClr w14:val="tx1"/>
            </w14:solidFill>
          </w14:textFill>
        </w:rPr>
        <w:t>式中</w:t>
      </w:r>
      <w:r>
        <w:rPr>
          <w:rFonts w:hint="eastAsia" w:ascii="Times New Roman" w:hAnsi="Times New Roman"/>
          <w:color w:val="000000" w:themeColor="text1"/>
          <w:kern w:val="2"/>
          <w:sz w:val="24"/>
          <w:szCs w:val="24"/>
          <w:lang w:eastAsia="zh-CN"/>
          <w14:textFill>
            <w14:solidFill>
              <w14:schemeClr w14:val="tx1"/>
            </w14:solidFill>
          </w14:textFill>
        </w:rPr>
        <w:t>：</w:t>
      </w:r>
      <w:r>
        <w:rPr>
          <w:color w:val="000000" w:themeColor="text1"/>
          <w:lang w:eastAsia="zh-CN"/>
          <w14:textFill>
            <w14:solidFill>
              <w14:schemeClr w14:val="tx1"/>
            </w14:solidFill>
          </w14:textFill>
        </w:rPr>
        <w:t xml:space="preserve"> </w:t>
      </w:r>
      <w:r>
        <w:rPr>
          <w:rFonts w:hint="eastAsia" w:ascii="Times New Roman" w:hAnsi="Times New Roman"/>
          <w:color w:val="000000" w:themeColor="text1"/>
          <w:kern w:val="2"/>
          <w:sz w:val="24"/>
          <w:szCs w:val="24"/>
          <w:lang w:eastAsia="zh-CN"/>
          <w14:textFill>
            <w14:solidFill>
              <w14:schemeClr w14:val="tx1"/>
            </w14:solidFill>
          </w14:textFill>
        </w:rPr>
        <w:t>S</w:t>
      </w:r>
      <w:r>
        <w:rPr>
          <w:rFonts w:hint="eastAsia" w:ascii="Times New Roman" w:hAnsi="Times New Roman"/>
          <w:color w:val="000000" w:themeColor="text1"/>
          <w:kern w:val="2"/>
          <w:sz w:val="24"/>
          <w:szCs w:val="24"/>
          <w:vertAlign w:val="subscript"/>
          <w:lang w:eastAsia="zh-CN"/>
          <w14:textFill>
            <w14:solidFill>
              <w14:schemeClr w14:val="tx1"/>
            </w14:solidFill>
          </w14:textFill>
        </w:rPr>
        <w:t>d</w:t>
      </w:r>
      <w:r>
        <w:rPr>
          <w:rFonts w:ascii="Times New Roman" w:hAnsi="Times New Roman"/>
          <w:color w:val="000000" w:themeColor="text1"/>
          <w:kern w:val="2"/>
          <w:sz w:val="24"/>
          <w:szCs w:val="24"/>
          <w:lang w:eastAsia="zh-CN"/>
          <w14:textFill>
            <w14:solidFill>
              <w14:schemeClr w14:val="tx1"/>
            </w14:solidFill>
          </w14:textFill>
        </w:rPr>
        <w:t>——</w:t>
      </w:r>
      <w:r>
        <w:rPr>
          <w:rFonts w:hint="eastAsia" w:ascii="Times New Roman" w:hAnsi="Times New Roman"/>
          <w:color w:val="000000" w:themeColor="text1"/>
          <w:kern w:val="2"/>
          <w:sz w:val="24"/>
          <w:szCs w:val="24"/>
          <w:lang w:eastAsia="zh-CN"/>
          <w14:textFill>
            <w14:solidFill>
              <w14:schemeClr w14:val="tx1"/>
            </w14:solidFill>
          </w14:textFill>
        </w:rPr>
        <w:t>作用组合的效应设计值，按标准组合确定；</w:t>
      </w:r>
    </w:p>
    <w:p w14:paraId="38180D9B">
      <w:pPr>
        <w:pStyle w:val="11"/>
        <w:spacing w:before="226"/>
        <w:ind w:firstLine="310"/>
        <w:rPr>
          <w:rFonts w:ascii="Times New Roman" w:hAnsi="Times New Roman"/>
          <w:color w:val="000000" w:themeColor="text1"/>
          <w:kern w:val="2"/>
          <w:sz w:val="24"/>
          <w:szCs w:val="24"/>
          <w:lang w:eastAsia="zh-CN"/>
          <w14:textFill>
            <w14:solidFill>
              <w14:schemeClr w14:val="tx1"/>
            </w14:solidFill>
          </w14:textFill>
        </w:rPr>
      </w:pPr>
      <w:r>
        <w:rPr>
          <w:rFonts w:hint="eastAsia" w:ascii="Times New Roman" w:hAnsi="Times New Roman"/>
          <w:color w:val="000000" w:themeColor="text1"/>
          <w:kern w:val="2"/>
          <w:sz w:val="24"/>
          <w:szCs w:val="24"/>
          <w:lang w:eastAsia="zh-CN"/>
          <w14:textFill>
            <w14:solidFill>
              <w14:schemeClr w14:val="tx1"/>
            </w14:solidFill>
          </w14:textFill>
        </w:rPr>
        <w:t>C</w:t>
      </w:r>
      <w:r>
        <w:rPr>
          <w:rFonts w:ascii="Times New Roman" w:hAnsi="Times New Roman"/>
          <w:color w:val="000000" w:themeColor="text1"/>
          <w:kern w:val="2"/>
          <w:sz w:val="24"/>
          <w:szCs w:val="24"/>
          <w:lang w:eastAsia="zh-CN"/>
          <w14:textFill>
            <w14:solidFill>
              <w14:schemeClr w14:val="tx1"/>
            </w14:solidFill>
          </w14:textFill>
        </w:rPr>
        <w:t>——</w:t>
      </w:r>
      <w:r>
        <w:rPr>
          <w:rFonts w:hint="eastAsia" w:ascii="Times New Roman" w:hAnsi="Times New Roman"/>
          <w:color w:val="000000" w:themeColor="text1"/>
          <w:kern w:val="2"/>
          <w:sz w:val="24"/>
          <w:szCs w:val="24"/>
          <w:lang w:eastAsia="zh-CN"/>
          <w14:textFill>
            <w14:solidFill>
              <w14:schemeClr w14:val="tx1"/>
            </w14:solidFill>
          </w14:textFill>
        </w:rPr>
        <w:t>结构或构件变形限值。</w:t>
      </w:r>
    </w:p>
    <w:p w14:paraId="0AD0AA16">
      <w:pPr>
        <w:tabs>
          <w:tab w:val="left" w:pos="960"/>
        </w:tabs>
        <w:autoSpaceDE w:val="0"/>
        <w:autoSpaceDN w:val="0"/>
        <w:spacing w:before="156"/>
        <w:ind w:right="805"/>
        <w:rPr>
          <w:rFonts w:hint="default" w:ascii="Times New Roman" w:hAnsi="Times New Roman" w:cs="Times New Roman"/>
          <w:spacing w:val="-2"/>
          <w:highlight w:val="none"/>
        </w:rPr>
      </w:pPr>
    </w:p>
    <w:p w14:paraId="02FC973E">
      <w:pPr>
        <w:pStyle w:val="3"/>
        <w:rPr>
          <w:rFonts w:hint="default" w:ascii="Times New Roman" w:hAnsi="Times New Roman" w:cs="Times New Roman"/>
        </w:rPr>
      </w:pPr>
      <w:bookmarkStart w:id="77" w:name="_Toc25507"/>
      <w:bookmarkStart w:id="78" w:name="_Toc30710"/>
      <w:bookmarkStart w:id="79" w:name="_Toc27826"/>
      <w:bookmarkStart w:id="80" w:name="_Toc2741"/>
      <w:r>
        <w:rPr>
          <w:rFonts w:hint="default" w:ascii="Times New Roman" w:hAnsi="Times New Roman" w:cs="Times New Roman"/>
        </w:rPr>
        <w:t xml:space="preserve">5.2  </w:t>
      </w:r>
      <w:bookmarkEnd w:id="77"/>
      <w:r>
        <w:rPr>
          <w:rFonts w:hint="default" w:ascii="Times New Roman" w:hAnsi="Times New Roman" w:cs="Times New Roman"/>
        </w:rPr>
        <w:t>荷载与荷载组合</w:t>
      </w:r>
      <w:bookmarkEnd w:id="78"/>
      <w:bookmarkEnd w:id="79"/>
      <w:bookmarkEnd w:id="80"/>
    </w:p>
    <w:p w14:paraId="0D58D761">
      <w:pPr>
        <w:rPr>
          <w:rFonts w:hint="default" w:ascii="Times New Roman" w:hAnsi="Times New Roman" w:cs="Times New Roman"/>
        </w:rPr>
      </w:pPr>
      <w:bookmarkStart w:id="81" w:name="_Toc21842"/>
      <w:r>
        <w:rPr>
          <w:rFonts w:hint="default" w:ascii="Times New Roman" w:hAnsi="Times New Roman" w:cs="Times New Roman"/>
          <w:b/>
          <w:bCs/>
        </w:rPr>
        <w:t>5.2.1</w:t>
      </w:r>
      <w:r>
        <w:rPr>
          <w:rFonts w:hint="default" w:ascii="Times New Roman" w:hAnsi="Times New Roman" w:cs="Times New Roman"/>
        </w:rPr>
        <w:t xml:space="preserve">  </w:t>
      </w:r>
      <w:bookmarkEnd w:id="81"/>
      <w:r>
        <w:rPr>
          <w:rFonts w:hint="default" w:ascii="Times New Roman" w:hAnsi="Times New Roman" w:cs="Times New Roman"/>
          <w:spacing w:val="-4"/>
        </w:rPr>
        <w:t xml:space="preserve">集成平台荷载类型与荷载取值应按表 </w:t>
      </w:r>
      <w:r>
        <w:rPr>
          <w:rFonts w:hint="default" w:ascii="Times New Roman" w:hAnsi="Times New Roman" w:eastAsia="Times New Roman" w:cs="Times New Roman"/>
        </w:rPr>
        <w:t>5.</w:t>
      </w:r>
      <w:r>
        <w:rPr>
          <w:rFonts w:hint="default" w:ascii="Times New Roman" w:hAnsi="Times New Roman" w:cs="Times New Roman" w:eastAsiaTheme="minorEastAsia"/>
        </w:rPr>
        <w:t>2</w:t>
      </w:r>
      <w:r>
        <w:rPr>
          <w:rFonts w:hint="default" w:ascii="Times New Roman" w:hAnsi="Times New Roman" w:eastAsia="Times New Roman" w:cs="Times New Roman"/>
        </w:rPr>
        <w:t>.</w:t>
      </w:r>
      <w:r>
        <w:rPr>
          <w:rFonts w:hint="default" w:ascii="Times New Roman" w:hAnsi="Times New Roman" w:cs="Times New Roman" w:eastAsiaTheme="minorEastAsia"/>
        </w:rPr>
        <w:t>1</w:t>
      </w:r>
      <w:r>
        <w:rPr>
          <w:rFonts w:hint="default" w:ascii="Times New Roman" w:hAnsi="Times New Roman" w:eastAsia="Times New Roman" w:cs="Times New Roman"/>
        </w:rPr>
        <w:t xml:space="preserve"> </w:t>
      </w:r>
      <w:r>
        <w:rPr>
          <w:rFonts w:hint="default" w:ascii="Times New Roman" w:hAnsi="Times New Roman" w:cs="Times New Roman"/>
          <w:spacing w:val="-4"/>
        </w:rPr>
        <w:t>采用：</w:t>
      </w:r>
    </w:p>
    <w:p w14:paraId="3CEEE518">
      <w:pPr>
        <w:tabs>
          <w:tab w:val="left" w:pos="3896"/>
        </w:tabs>
        <w:spacing w:before="174"/>
        <w:ind w:left="3003"/>
        <w:rPr>
          <w:rFonts w:hint="default" w:ascii="Times New Roman" w:hAnsi="Times New Roman" w:eastAsia="黑体" w:cs="Times New Roman"/>
          <w:b w:val="0"/>
          <w:bCs/>
          <w:sz w:val="20"/>
          <w:szCs w:val="20"/>
          <w:lang w:eastAsia="zh-CN"/>
        </w:rPr>
      </w:pPr>
      <w:r>
        <w:rPr>
          <w:rFonts w:hint="default" w:ascii="Times New Roman" w:hAnsi="Times New Roman" w:eastAsia="黑体" w:cs="Times New Roman"/>
          <w:b w:val="0"/>
          <w:bCs/>
          <w:spacing w:val="-4"/>
          <w:sz w:val="20"/>
          <w:szCs w:val="20"/>
        </w:rPr>
        <w:t>表</w:t>
      </w:r>
      <w:r>
        <w:rPr>
          <w:rFonts w:hint="default" w:ascii="Times New Roman" w:hAnsi="Times New Roman" w:eastAsia="黑体" w:cs="Times New Roman"/>
          <w:b w:val="0"/>
          <w:bCs/>
          <w:spacing w:val="-53"/>
          <w:sz w:val="20"/>
          <w:szCs w:val="20"/>
        </w:rPr>
        <w:t xml:space="preserve"> </w:t>
      </w:r>
      <w:r>
        <w:rPr>
          <w:rFonts w:hint="default" w:ascii="Times New Roman" w:hAnsi="Times New Roman" w:eastAsia="黑体" w:cs="Times New Roman"/>
          <w:b w:val="0"/>
          <w:bCs/>
          <w:spacing w:val="-2"/>
          <w:sz w:val="20"/>
          <w:szCs w:val="20"/>
        </w:rPr>
        <w:t>5.2.1</w:t>
      </w:r>
      <w:r>
        <w:rPr>
          <w:rFonts w:hint="default" w:ascii="Times New Roman" w:hAnsi="Times New Roman" w:eastAsia="黑体" w:cs="Times New Roman"/>
          <w:b w:val="0"/>
          <w:bCs/>
          <w:sz w:val="20"/>
          <w:szCs w:val="20"/>
        </w:rPr>
        <w:tab/>
      </w:r>
      <w:r>
        <w:rPr>
          <w:rFonts w:hint="default" w:ascii="Times New Roman" w:hAnsi="Times New Roman" w:eastAsia="黑体" w:cs="Times New Roman"/>
          <w:b w:val="0"/>
          <w:bCs/>
          <w:spacing w:val="-2"/>
          <w:sz w:val="20"/>
          <w:szCs w:val="20"/>
        </w:rPr>
        <w:t>荷载类型与荷载取</w:t>
      </w:r>
      <w:r>
        <w:rPr>
          <w:rFonts w:hint="default" w:ascii="Times New Roman" w:hAnsi="Times New Roman" w:eastAsia="黑体" w:cs="Times New Roman"/>
          <w:b w:val="0"/>
          <w:bCs/>
          <w:spacing w:val="-10"/>
          <w:sz w:val="20"/>
          <w:szCs w:val="20"/>
        </w:rPr>
        <w:t>值</w:t>
      </w:r>
    </w:p>
    <w:tbl>
      <w:tblPr>
        <w:tblStyle w:val="66"/>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9"/>
        <w:gridCol w:w="1162"/>
        <w:gridCol w:w="2781"/>
        <w:gridCol w:w="4217"/>
      </w:tblGrid>
      <w:tr w14:paraId="7265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456" w:type="pct"/>
            <w:vAlign w:val="center"/>
          </w:tcPr>
          <w:p w14:paraId="33D7910D">
            <w:pPr>
              <w:pStyle w:val="67"/>
              <w:spacing w:before="73"/>
              <w:ind w:left="20"/>
              <w:jc w:val="center"/>
              <w:rPr>
                <w:rFonts w:hint="eastAsia" w:ascii="黑体" w:hAnsi="黑体" w:eastAsia="黑体" w:cs="黑体"/>
                <w:b w:val="0"/>
                <w:bCs w:val="0"/>
                <w:sz w:val="21"/>
                <w:szCs w:val="21"/>
              </w:rPr>
            </w:pPr>
            <w:r>
              <w:rPr>
                <w:rFonts w:hint="eastAsia" w:ascii="黑体" w:hAnsi="黑体" w:eastAsia="黑体" w:cs="黑体"/>
                <w:b w:val="0"/>
                <w:bCs w:val="0"/>
                <w:spacing w:val="-8"/>
                <w:sz w:val="21"/>
                <w:szCs w:val="21"/>
              </w:rPr>
              <w:t>项次</w:t>
            </w:r>
          </w:p>
        </w:tc>
        <w:tc>
          <w:tcPr>
            <w:tcW w:w="647" w:type="pct"/>
            <w:vAlign w:val="center"/>
          </w:tcPr>
          <w:p w14:paraId="6FE47690">
            <w:pPr>
              <w:pStyle w:val="67"/>
              <w:spacing w:before="73"/>
              <w:ind w:left="24"/>
              <w:jc w:val="center"/>
              <w:rPr>
                <w:rFonts w:hint="eastAsia" w:ascii="黑体" w:hAnsi="黑体" w:eastAsia="黑体" w:cs="黑体"/>
                <w:b w:val="0"/>
                <w:bCs w:val="0"/>
                <w:sz w:val="21"/>
                <w:szCs w:val="21"/>
              </w:rPr>
            </w:pPr>
            <w:r>
              <w:rPr>
                <w:rFonts w:hint="eastAsia" w:ascii="黑体" w:hAnsi="黑体" w:eastAsia="黑体" w:cs="黑体"/>
                <w:b w:val="0"/>
                <w:bCs w:val="0"/>
                <w:spacing w:val="-7"/>
                <w:sz w:val="21"/>
                <w:szCs w:val="21"/>
              </w:rPr>
              <w:t>荷载类型</w:t>
            </w:r>
          </w:p>
        </w:tc>
        <w:tc>
          <w:tcPr>
            <w:tcW w:w="1548" w:type="pct"/>
            <w:vAlign w:val="center"/>
          </w:tcPr>
          <w:p w14:paraId="2AA56029">
            <w:pPr>
              <w:pStyle w:val="67"/>
              <w:spacing w:before="73"/>
              <w:ind w:left="26" w:right="2"/>
              <w:jc w:val="center"/>
              <w:rPr>
                <w:rFonts w:hint="eastAsia" w:ascii="黑体" w:hAnsi="黑体" w:eastAsia="黑体" w:cs="黑体"/>
                <w:b w:val="0"/>
                <w:bCs w:val="0"/>
                <w:sz w:val="21"/>
                <w:szCs w:val="21"/>
              </w:rPr>
            </w:pPr>
            <w:r>
              <w:rPr>
                <w:rFonts w:hint="eastAsia" w:ascii="黑体" w:hAnsi="黑体" w:eastAsia="黑体" w:cs="黑体"/>
                <w:b w:val="0"/>
                <w:bCs w:val="0"/>
                <w:spacing w:val="-8"/>
                <w:sz w:val="21"/>
                <w:szCs w:val="21"/>
              </w:rPr>
              <w:t>荷载</w:t>
            </w:r>
          </w:p>
        </w:tc>
        <w:tc>
          <w:tcPr>
            <w:tcW w:w="2347" w:type="pct"/>
            <w:vAlign w:val="center"/>
          </w:tcPr>
          <w:p w14:paraId="2566C376">
            <w:pPr>
              <w:pStyle w:val="67"/>
              <w:spacing w:before="73"/>
              <w:ind w:left="32"/>
              <w:jc w:val="center"/>
              <w:rPr>
                <w:rFonts w:hint="eastAsia" w:ascii="黑体" w:hAnsi="黑体" w:eastAsia="黑体" w:cs="黑体"/>
                <w:b w:val="0"/>
                <w:bCs w:val="0"/>
                <w:sz w:val="21"/>
                <w:szCs w:val="21"/>
              </w:rPr>
            </w:pPr>
            <w:r>
              <w:rPr>
                <w:rFonts w:hint="eastAsia" w:ascii="黑体" w:hAnsi="黑体" w:eastAsia="黑体" w:cs="黑体"/>
                <w:b w:val="0"/>
                <w:bCs w:val="0"/>
                <w:spacing w:val="-7"/>
                <w:sz w:val="21"/>
                <w:szCs w:val="21"/>
              </w:rPr>
              <w:t>荷载取值</w:t>
            </w:r>
          </w:p>
        </w:tc>
      </w:tr>
      <w:tr w14:paraId="714E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56" w:type="pct"/>
            <w:vAlign w:val="center"/>
          </w:tcPr>
          <w:p w14:paraId="342FAA48">
            <w:pPr>
              <w:pStyle w:val="67"/>
              <w:spacing w:before="247"/>
              <w:ind w:left="20" w:right="2"/>
              <w:jc w:val="center"/>
              <w:rPr>
                <w:rFonts w:hint="default" w:ascii="Times New Roman" w:hAnsi="Times New Roman" w:eastAsia="宋体" w:cs="Times New Roman"/>
                <w:sz w:val="21"/>
                <w:szCs w:val="21"/>
              </w:rPr>
            </w:pPr>
            <w:r>
              <w:rPr>
                <w:rFonts w:hint="default" w:ascii="Times New Roman" w:hAnsi="Times New Roman" w:eastAsia="宋体" w:cs="Times New Roman"/>
                <w:spacing w:val="-10"/>
                <w:sz w:val="21"/>
                <w:szCs w:val="21"/>
              </w:rPr>
              <w:t>1</w:t>
            </w:r>
          </w:p>
        </w:tc>
        <w:tc>
          <w:tcPr>
            <w:tcW w:w="647" w:type="pct"/>
            <w:vAlign w:val="center"/>
          </w:tcPr>
          <w:p w14:paraId="23A46B8B">
            <w:pPr>
              <w:pStyle w:val="67"/>
              <w:spacing w:before="229"/>
              <w:ind w:left="24"/>
              <w:jc w:val="center"/>
              <w:rPr>
                <w:rFonts w:hint="default" w:ascii="Times New Roman" w:hAnsi="Times New Roman" w:eastAsia="宋体" w:cs="Times New Roman"/>
                <w:sz w:val="21"/>
                <w:szCs w:val="21"/>
              </w:rPr>
            </w:pPr>
            <w:r>
              <w:rPr>
                <w:rFonts w:hint="default" w:ascii="Times New Roman" w:hAnsi="Times New Roman" w:eastAsia="宋体" w:cs="Times New Roman"/>
                <w:spacing w:val="-7"/>
                <w:sz w:val="21"/>
                <w:szCs w:val="21"/>
              </w:rPr>
              <w:t>永久荷载</w:t>
            </w:r>
          </w:p>
        </w:tc>
        <w:tc>
          <w:tcPr>
            <w:tcW w:w="1548" w:type="pct"/>
            <w:vAlign w:val="center"/>
          </w:tcPr>
          <w:p w14:paraId="75BE6FBC">
            <w:pPr>
              <w:pStyle w:val="67"/>
              <w:spacing w:before="73" w:line="273" w:lineRule="auto"/>
              <w:ind w:left="486" w:right="85" w:hanging="372"/>
              <w:jc w:val="center"/>
              <w:rPr>
                <w:rFonts w:hint="default" w:ascii="Times New Roman" w:hAnsi="Times New Roman" w:eastAsia="宋体" w:cs="Times New Roman"/>
                <w:sz w:val="21"/>
                <w:szCs w:val="21"/>
              </w:rPr>
            </w:pPr>
            <w:r>
              <w:rPr>
                <w:rFonts w:hint="default" w:ascii="Times New Roman" w:hAnsi="Times New Roman" w:eastAsia="宋体" w:cs="Times New Roman"/>
                <w:spacing w:val="-10"/>
                <w:sz w:val="21"/>
                <w:szCs w:val="21"/>
              </w:rPr>
              <w:t>支承系统、</w:t>
            </w:r>
            <w:r>
              <w:rPr>
                <w:rFonts w:hint="eastAsia" w:ascii="Times New Roman" w:hAnsi="Times New Roman" w:cs="Times New Roman"/>
                <w:spacing w:val="-10"/>
                <w:sz w:val="21"/>
                <w:szCs w:val="21"/>
                <w:lang w:val="en-US" w:eastAsia="zh-CN"/>
              </w:rPr>
              <w:t>钢平台</w:t>
            </w:r>
            <w:r>
              <w:rPr>
                <w:rFonts w:hint="default" w:ascii="Times New Roman" w:hAnsi="Times New Roman" w:eastAsia="宋体" w:cs="Times New Roman"/>
                <w:spacing w:val="-10"/>
                <w:sz w:val="21"/>
                <w:szCs w:val="21"/>
              </w:rPr>
              <w:t>系统、挂架</w:t>
            </w:r>
            <w:r>
              <w:rPr>
                <w:rFonts w:hint="default" w:ascii="Times New Roman" w:hAnsi="Times New Roman" w:eastAsia="宋体" w:cs="Times New Roman"/>
                <w:spacing w:val="-2"/>
                <w:sz w:val="21"/>
                <w:szCs w:val="21"/>
              </w:rPr>
              <w:t>系统及模板自重等</w:t>
            </w:r>
          </w:p>
        </w:tc>
        <w:tc>
          <w:tcPr>
            <w:tcW w:w="2347" w:type="pct"/>
            <w:vAlign w:val="center"/>
          </w:tcPr>
          <w:p w14:paraId="25D18100">
            <w:pPr>
              <w:pStyle w:val="67"/>
              <w:spacing w:before="229"/>
              <w:ind w:left="32"/>
              <w:jc w:val="center"/>
              <w:rPr>
                <w:rFonts w:hint="default" w:ascii="Times New Roman" w:hAnsi="Times New Roman" w:eastAsia="宋体" w:cs="Times New Roman"/>
                <w:sz w:val="21"/>
                <w:szCs w:val="21"/>
              </w:rPr>
            </w:pPr>
            <w:r>
              <w:rPr>
                <w:rFonts w:hint="default" w:ascii="Times New Roman" w:hAnsi="Times New Roman" w:eastAsia="宋体" w:cs="Times New Roman"/>
                <w:spacing w:val="-6"/>
                <w:sz w:val="21"/>
                <w:szCs w:val="21"/>
              </w:rPr>
              <w:t>按实际情况取值</w:t>
            </w:r>
          </w:p>
        </w:tc>
      </w:tr>
      <w:tr w14:paraId="292E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0" w:hRule="atLeast"/>
        </w:trPr>
        <w:tc>
          <w:tcPr>
            <w:tcW w:w="456" w:type="pct"/>
            <w:vAlign w:val="center"/>
          </w:tcPr>
          <w:p w14:paraId="70764E0E">
            <w:pPr>
              <w:pStyle w:val="67"/>
              <w:spacing w:before="248"/>
              <w:ind w:left="20" w:right="2"/>
              <w:jc w:val="center"/>
              <w:rPr>
                <w:rFonts w:hint="default" w:ascii="Times New Roman" w:hAnsi="Times New Roman" w:eastAsia="宋体" w:cs="Times New Roman"/>
                <w:sz w:val="21"/>
                <w:szCs w:val="21"/>
              </w:rPr>
            </w:pPr>
            <w:r>
              <w:rPr>
                <w:rFonts w:hint="default" w:ascii="Times New Roman" w:hAnsi="Times New Roman" w:eastAsia="宋体" w:cs="Times New Roman"/>
                <w:spacing w:val="-10"/>
                <w:sz w:val="21"/>
                <w:szCs w:val="21"/>
              </w:rPr>
              <w:t>2</w:t>
            </w:r>
          </w:p>
        </w:tc>
        <w:tc>
          <w:tcPr>
            <w:tcW w:w="647" w:type="pct"/>
            <w:vMerge w:val="restart"/>
            <w:vAlign w:val="center"/>
          </w:tcPr>
          <w:p w14:paraId="059D6733">
            <w:pPr>
              <w:pStyle w:val="67"/>
              <w:jc w:val="center"/>
              <w:rPr>
                <w:rFonts w:hint="default" w:ascii="Times New Roman" w:hAnsi="Times New Roman" w:eastAsia="宋体" w:cs="Times New Roman"/>
                <w:b/>
                <w:sz w:val="21"/>
                <w:szCs w:val="21"/>
              </w:rPr>
            </w:pPr>
          </w:p>
          <w:p w14:paraId="028CC99A">
            <w:pPr>
              <w:pStyle w:val="67"/>
              <w:jc w:val="center"/>
              <w:rPr>
                <w:rFonts w:hint="default" w:ascii="Times New Roman" w:hAnsi="Times New Roman" w:eastAsia="宋体" w:cs="Times New Roman"/>
                <w:b/>
                <w:sz w:val="21"/>
                <w:szCs w:val="21"/>
              </w:rPr>
            </w:pPr>
          </w:p>
          <w:p w14:paraId="6E1EC3A7">
            <w:pPr>
              <w:pStyle w:val="67"/>
              <w:jc w:val="center"/>
              <w:rPr>
                <w:rFonts w:hint="default" w:ascii="Times New Roman" w:hAnsi="Times New Roman" w:eastAsia="宋体" w:cs="Times New Roman"/>
                <w:b/>
                <w:sz w:val="21"/>
                <w:szCs w:val="21"/>
              </w:rPr>
            </w:pPr>
          </w:p>
          <w:p w14:paraId="2D44CC0B">
            <w:pPr>
              <w:pStyle w:val="67"/>
              <w:spacing w:before="265"/>
              <w:jc w:val="center"/>
              <w:rPr>
                <w:rFonts w:hint="default" w:ascii="Times New Roman" w:hAnsi="Times New Roman" w:eastAsia="宋体" w:cs="Times New Roman"/>
                <w:b/>
                <w:sz w:val="21"/>
                <w:szCs w:val="21"/>
              </w:rPr>
            </w:pPr>
          </w:p>
          <w:p w14:paraId="43547B77">
            <w:pPr>
              <w:pStyle w:val="67"/>
              <w:spacing w:before="1"/>
              <w:ind w:left="137"/>
              <w:jc w:val="center"/>
              <w:rPr>
                <w:rFonts w:hint="default" w:ascii="Times New Roman" w:hAnsi="Times New Roman" w:eastAsia="宋体" w:cs="Times New Roman"/>
                <w:sz w:val="21"/>
                <w:szCs w:val="21"/>
              </w:rPr>
            </w:pPr>
            <w:r>
              <w:rPr>
                <w:rFonts w:hint="default" w:ascii="Times New Roman" w:hAnsi="Times New Roman" w:eastAsia="宋体" w:cs="Times New Roman"/>
                <w:spacing w:val="-7"/>
                <w:sz w:val="21"/>
                <w:szCs w:val="21"/>
              </w:rPr>
              <w:t>可变荷载</w:t>
            </w:r>
          </w:p>
        </w:tc>
        <w:tc>
          <w:tcPr>
            <w:tcW w:w="1548" w:type="pct"/>
            <w:vAlign w:val="center"/>
          </w:tcPr>
          <w:p w14:paraId="1B116A49">
            <w:pPr>
              <w:pStyle w:val="67"/>
              <w:spacing w:before="74" w:line="273" w:lineRule="auto"/>
              <w:ind w:left="695" w:right="85" w:hanging="581"/>
              <w:jc w:val="center"/>
              <w:rPr>
                <w:rFonts w:hint="default" w:ascii="Times New Roman" w:hAnsi="Times New Roman" w:eastAsia="宋体" w:cs="Times New Roman"/>
                <w:sz w:val="21"/>
                <w:szCs w:val="21"/>
              </w:rPr>
            </w:pPr>
            <w:r>
              <w:rPr>
                <w:rFonts w:hint="default" w:ascii="Times New Roman" w:hAnsi="Times New Roman" w:eastAsia="宋体" w:cs="Times New Roman"/>
                <w:spacing w:val="-10"/>
                <w:sz w:val="21"/>
                <w:szCs w:val="21"/>
              </w:rPr>
              <w:t>塔机、施工电梯、布料机等</w:t>
            </w:r>
            <w:r>
              <w:rPr>
                <w:rFonts w:hint="default" w:ascii="Times New Roman" w:hAnsi="Times New Roman" w:eastAsia="宋体" w:cs="Times New Roman"/>
                <w:spacing w:val="-2"/>
                <w:sz w:val="21"/>
                <w:szCs w:val="21"/>
              </w:rPr>
              <w:t>施工机具荷载</w:t>
            </w:r>
          </w:p>
        </w:tc>
        <w:tc>
          <w:tcPr>
            <w:tcW w:w="2347" w:type="pct"/>
            <w:vAlign w:val="center"/>
          </w:tcPr>
          <w:p w14:paraId="06273522">
            <w:pPr>
              <w:pStyle w:val="67"/>
              <w:spacing w:before="230"/>
              <w:ind w:left="32"/>
              <w:jc w:val="center"/>
              <w:rPr>
                <w:rFonts w:hint="default" w:ascii="Times New Roman" w:hAnsi="Times New Roman" w:eastAsia="宋体" w:cs="Times New Roman"/>
                <w:sz w:val="21"/>
                <w:szCs w:val="21"/>
              </w:rPr>
            </w:pPr>
            <w:r>
              <w:rPr>
                <w:rFonts w:hint="default" w:ascii="Times New Roman" w:hAnsi="Times New Roman" w:eastAsia="宋体" w:cs="Times New Roman"/>
                <w:spacing w:val="-6"/>
                <w:sz w:val="21"/>
                <w:szCs w:val="21"/>
              </w:rPr>
              <w:t>按实际情况取值</w:t>
            </w:r>
          </w:p>
        </w:tc>
      </w:tr>
      <w:tr w14:paraId="245F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56" w:type="pct"/>
            <w:vAlign w:val="center"/>
          </w:tcPr>
          <w:p w14:paraId="696F3300">
            <w:pPr>
              <w:pStyle w:val="67"/>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p>
        </w:tc>
        <w:tc>
          <w:tcPr>
            <w:tcW w:w="647" w:type="pct"/>
            <w:vMerge w:val="continue"/>
            <w:vAlign w:val="center"/>
          </w:tcPr>
          <w:p w14:paraId="6A047A8A">
            <w:pPr>
              <w:jc w:val="center"/>
              <w:rPr>
                <w:rFonts w:hint="default" w:ascii="Times New Roman" w:hAnsi="Times New Roman" w:eastAsia="宋体" w:cs="Times New Roman"/>
                <w:sz w:val="21"/>
                <w:szCs w:val="21"/>
              </w:rPr>
            </w:pPr>
          </w:p>
        </w:tc>
        <w:tc>
          <w:tcPr>
            <w:tcW w:w="1548" w:type="pct"/>
            <w:vAlign w:val="center"/>
          </w:tcPr>
          <w:p w14:paraId="48DDDD6B">
            <w:pPr>
              <w:pStyle w:val="67"/>
              <w:spacing w:before="64"/>
              <w:ind w:left="26" w:right="2"/>
              <w:jc w:val="center"/>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材料堆积荷载</w:t>
            </w:r>
          </w:p>
        </w:tc>
        <w:tc>
          <w:tcPr>
            <w:tcW w:w="2347" w:type="pct"/>
            <w:vAlign w:val="center"/>
          </w:tcPr>
          <w:p w14:paraId="0284312F">
            <w:pPr>
              <w:pStyle w:val="67"/>
              <w:spacing w:before="64"/>
              <w:ind w:left="32"/>
              <w:jc w:val="center"/>
              <w:rPr>
                <w:rFonts w:hint="default" w:ascii="Times New Roman" w:hAnsi="Times New Roman" w:eastAsia="宋体" w:cs="Times New Roman"/>
                <w:sz w:val="21"/>
                <w:szCs w:val="21"/>
              </w:rPr>
            </w:pPr>
            <w:r>
              <w:rPr>
                <w:rFonts w:hint="default" w:ascii="Times New Roman" w:hAnsi="Times New Roman" w:eastAsia="宋体" w:cs="Times New Roman"/>
                <w:spacing w:val="-6"/>
                <w:sz w:val="21"/>
                <w:szCs w:val="21"/>
              </w:rPr>
              <w:t>按实际情况取值</w:t>
            </w:r>
          </w:p>
        </w:tc>
      </w:tr>
      <w:tr w14:paraId="52D8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3" w:hRule="atLeast"/>
        </w:trPr>
        <w:tc>
          <w:tcPr>
            <w:tcW w:w="456" w:type="pct"/>
            <w:vAlign w:val="center"/>
          </w:tcPr>
          <w:p w14:paraId="00BE6ECC">
            <w:pPr>
              <w:pStyle w:val="67"/>
              <w:spacing w:before="239"/>
              <w:ind w:left="20" w:right="2"/>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pacing w:val="-10"/>
                <w:sz w:val="21"/>
                <w:szCs w:val="21"/>
                <w:lang w:val="en-US" w:eastAsia="zh-CN"/>
              </w:rPr>
              <w:t>4</w:t>
            </w:r>
          </w:p>
        </w:tc>
        <w:tc>
          <w:tcPr>
            <w:tcW w:w="647" w:type="pct"/>
            <w:vMerge w:val="continue"/>
            <w:vAlign w:val="center"/>
          </w:tcPr>
          <w:p w14:paraId="24AD3BF6">
            <w:pPr>
              <w:jc w:val="center"/>
              <w:rPr>
                <w:rFonts w:hint="default" w:ascii="Times New Roman" w:hAnsi="Times New Roman" w:eastAsia="宋体" w:cs="Times New Roman"/>
                <w:sz w:val="21"/>
                <w:szCs w:val="21"/>
              </w:rPr>
            </w:pPr>
          </w:p>
        </w:tc>
        <w:tc>
          <w:tcPr>
            <w:tcW w:w="1548" w:type="pct"/>
            <w:vAlign w:val="center"/>
          </w:tcPr>
          <w:p w14:paraId="24E21A85">
            <w:pPr>
              <w:pStyle w:val="67"/>
              <w:spacing w:before="221"/>
              <w:ind w:left="26"/>
              <w:jc w:val="center"/>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钢平台施工人员荷载</w:t>
            </w:r>
          </w:p>
        </w:tc>
        <w:tc>
          <w:tcPr>
            <w:tcW w:w="2347" w:type="pct"/>
            <w:vAlign w:val="center"/>
          </w:tcPr>
          <w:p w14:paraId="1120309B">
            <w:pPr>
              <w:pStyle w:val="67"/>
              <w:spacing w:before="65"/>
              <w:ind w:left="37"/>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作业阶段：1.5</w:t>
            </w:r>
            <w:r>
              <w:rPr>
                <w:rFonts w:hint="default" w:ascii="Times New Roman" w:hAnsi="Times New Roman" w:eastAsia="宋体" w:cs="Times New Roman"/>
                <w:spacing w:val="-11"/>
                <w:sz w:val="21"/>
                <w:szCs w:val="21"/>
              </w:rPr>
              <w:t xml:space="preserve"> </w:t>
            </w:r>
            <w:r>
              <w:rPr>
                <w:rFonts w:hint="default" w:ascii="Times New Roman" w:hAnsi="Times New Roman" w:eastAsia="宋体" w:cs="Times New Roman"/>
                <w:spacing w:val="-2"/>
                <w:sz w:val="21"/>
                <w:szCs w:val="21"/>
              </w:rPr>
              <w:t>kN/m</w:t>
            </w:r>
            <w:r>
              <w:rPr>
                <w:rFonts w:hint="default" w:ascii="Times New Roman" w:hAnsi="Times New Roman" w:eastAsia="宋体" w:cs="Times New Roman"/>
                <w:spacing w:val="-2"/>
                <w:sz w:val="21"/>
                <w:szCs w:val="21"/>
                <w:vertAlign w:val="superscript"/>
              </w:rPr>
              <w:t>2</w:t>
            </w:r>
            <w:r>
              <w:rPr>
                <w:rFonts w:hint="default" w:ascii="Times New Roman" w:hAnsi="Times New Roman" w:eastAsia="宋体" w:cs="Times New Roman"/>
                <w:spacing w:val="-2"/>
                <w:sz w:val="21"/>
                <w:szCs w:val="21"/>
              </w:rPr>
              <w:t>；</w:t>
            </w:r>
          </w:p>
          <w:p w14:paraId="1AF562B2">
            <w:pPr>
              <w:pStyle w:val="67"/>
              <w:spacing w:before="39"/>
              <w:ind w:left="38"/>
              <w:jc w:val="center"/>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顶升、提升和停工阶段：0.75</w:t>
            </w:r>
            <w:r>
              <w:rPr>
                <w:rFonts w:hint="default" w:ascii="Times New Roman" w:hAnsi="Times New Roman" w:eastAsia="宋体" w:cs="Times New Roman"/>
                <w:spacing w:val="8"/>
                <w:sz w:val="21"/>
                <w:szCs w:val="21"/>
              </w:rPr>
              <w:t xml:space="preserve"> </w:t>
            </w:r>
            <w:r>
              <w:rPr>
                <w:rFonts w:hint="default" w:ascii="Times New Roman" w:hAnsi="Times New Roman" w:eastAsia="宋体" w:cs="Times New Roman"/>
                <w:spacing w:val="-4"/>
                <w:sz w:val="21"/>
                <w:szCs w:val="21"/>
              </w:rPr>
              <w:t>kN/m</w:t>
            </w:r>
            <w:r>
              <w:rPr>
                <w:rFonts w:hint="default" w:ascii="Times New Roman" w:hAnsi="Times New Roman" w:eastAsia="宋体" w:cs="Times New Roman"/>
                <w:spacing w:val="-4"/>
                <w:sz w:val="21"/>
                <w:szCs w:val="21"/>
                <w:vertAlign w:val="superscript"/>
              </w:rPr>
              <w:t>2</w:t>
            </w:r>
          </w:p>
        </w:tc>
      </w:tr>
      <w:tr w14:paraId="01ED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0" w:hRule="atLeast"/>
        </w:trPr>
        <w:tc>
          <w:tcPr>
            <w:tcW w:w="456" w:type="pct"/>
            <w:vAlign w:val="center"/>
          </w:tcPr>
          <w:p w14:paraId="5EEE9DD8">
            <w:pPr>
              <w:pStyle w:val="67"/>
              <w:ind w:left="20" w:right="2"/>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pacing w:val="-10"/>
                <w:sz w:val="21"/>
                <w:szCs w:val="21"/>
                <w:lang w:val="en-US" w:eastAsia="zh-CN"/>
              </w:rPr>
              <w:t>5</w:t>
            </w:r>
          </w:p>
        </w:tc>
        <w:tc>
          <w:tcPr>
            <w:tcW w:w="647" w:type="pct"/>
            <w:vMerge w:val="continue"/>
            <w:vAlign w:val="center"/>
          </w:tcPr>
          <w:p w14:paraId="032A4967">
            <w:pPr>
              <w:jc w:val="center"/>
              <w:rPr>
                <w:rFonts w:hint="default" w:ascii="Times New Roman" w:hAnsi="Times New Roman" w:eastAsia="宋体" w:cs="Times New Roman"/>
                <w:sz w:val="21"/>
                <w:szCs w:val="21"/>
              </w:rPr>
            </w:pPr>
          </w:p>
        </w:tc>
        <w:tc>
          <w:tcPr>
            <w:tcW w:w="1548" w:type="pct"/>
            <w:vAlign w:val="center"/>
          </w:tcPr>
          <w:p w14:paraId="4EDED318">
            <w:pPr>
              <w:pStyle w:val="67"/>
              <w:spacing w:before="1"/>
              <w:ind w:left="26"/>
              <w:jc w:val="center"/>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挂架施工人员荷载</w:t>
            </w:r>
          </w:p>
        </w:tc>
        <w:tc>
          <w:tcPr>
            <w:tcW w:w="2347" w:type="pct"/>
            <w:vAlign w:val="center"/>
          </w:tcPr>
          <w:p w14:paraId="55552709">
            <w:pPr>
              <w:pStyle w:val="67"/>
              <w:spacing w:before="66"/>
              <w:ind w:left="35"/>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作业阶段：1</w:t>
            </w:r>
            <w:r>
              <w:rPr>
                <w:rFonts w:hint="default" w:ascii="Times New Roman" w:hAnsi="Times New Roman" w:eastAsia="宋体" w:cs="Times New Roman"/>
                <w:spacing w:val="-10"/>
                <w:sz w:val="21"/>
                <w:szCs w:val="21"/>
              </w:rPr>
              <w:t xml:space="preserve"> </w:t>
            </w:r>
            <w:r>
              <w:rPr>
                <w:rFonts w:hint="default" w:ascii="Times New Roman" w:hAnsi="Times New Roman" w:eastAsia="宋体" w:cs="Times New Roman"/>
                <w:spacing w:val="-2"/>
                <w:sz w:val="21"/>
                <w:szCs w:val="21"/>
              </w:rPr>
              <w:t>kN/m</w:t>
            </w:r>
            <w:r>
              <w:rPr>
                <w:rFonts w:hint="default" w:ascii="Times New Roman" w:hAnsi="Times New Roman" w:eastAsia="宋体" w:cs="Times New Roman"/>
                <w:spacing w:val="-2"/>
                <w:sz w:val="21"/>
                <w:szCs w:val="21"/>
                <w:vertAlign w:val="superscript"/>
              </w:rPr>
              <w:t>2</w:t>
            </w:r>
            <w:r>
              <w:rPr>
                <w:rFonts w:hint="default" w:ascii="Times New Roman" w:hAnsi="Times New Roman" w:eastAsia="宋体" w:cs="Times New Roman"/>
                <w:spacing w:val="-2"/>
                <w:sz w:val="21"/>
                <w:szCs w:val="21"/>
              </w:rPr>
              <w:t>；</w:t>
            </w:r>
          </w:p>
          <w:p w14:paraId="5B47988A">
            <w:pPr>
              <w:pStyle w:val="67"/>
              <w:spacing w:before="39" w:line="273" w:lineRule="auto"/>
              <w:ind w:left="317" w:right="277"/>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顶升、提升和停工阶段：0.5</w:t>
            </w:r>
            <w:r>
              <w:rPr>
                <w:rFonts w:hint="default" w:ascii="Times New Roman" w:hAnsi="Times New Roman" w:eastAsia="宋体" w:cs="Times New Roman"/>
                <w:spacing w:val="-14"/>
                <w:sz w:val="21"/>
                <w:szCs w:val="21"/>
              </w:rPr>
              <w:t xml:space="preserve"> </w:t>
            </w:r>
            <w:r>
              <w:rPr>
                <w:rFonts w:hint="default" w:ascii="Times New Roman" w:hAnsi="Times New Roman" w:eastAsia="宋体" w:cs="Times New Roman"/>
                <w:sz w:val="21"/>
                <w:szCs w:val="21"/>
              </w:rPr>
              <w:t>kN/m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w:t>
            </w:r>
          </w:p>
          <w:p w14:paraId="3EC76155">
            <w:pPr>
              <w:pStyle w:val="67"/>
              <w:spacing w:before="39" w:line="273" w:lineRule="auto"/>
              <w:ind w:left="317" w:right="277"/>
              <w:jc w:val="center"/>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应仅考虑三层挂架施工人员荷载</w:t>
            </w:r>
          </w:p>
        </w:tc>
      </w:tr>
      <w:tr w14:paraId="0233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0" w:hRule="atLeast"/>
        </w:trPr>
        <w:tc>
          <w:tcPr>
            <w:tcW w:w="456" w:type="pct"/>
            <w:vAlign w:val="center"/>
          </w:tcPr>
          <w:p w14:paraId="698E2650">
            <w:pPr>
              <w:pStyle w:val="67"/>
              <w:spacing w:before="122"/>
              <w:jc w:val="center"/>
              <w:rPr>
                <w:rFonts w:hint="default" w:ascii="Times New Roman" w:hAnsi="Times New Roman" w:eastAsia="宋体" w:cs="Times New Roman"/>
                <w:b/>
                <w:sz w:val="21"/>
                <w:szCs w:val="21"/>
                <w:lang w:eastAsia="zh-CN"/>
              </w:rPr>
            </w:pPr>
            <w:r>
              <w:rPr>
                <w:rFonts w:hint="default" w:ascii="Times New Roman" w:hAnsi="Times New Roman" w:eastAsia="宋体" w:cs="Times New Roman"/>
                <w:spacing w:val="-10"/>
                <w:sz w:val="21"/>
                <w:szCs w:val="21"/>
                <w:lang w:val="en-US" w:eastAsia="zh-CN"/>
              </w:rPr>
              <w:t>6</w:t>
            </w:r>
          </w:p>
        </w:tc>
        <w:tc>
          <w:tcPr>
            <w:tcW w:w="647" w:type="pct"/>
            <w:vMerge w:val="continue"/>
            <w:vAlign w:val="center"/>
          </w:tcPr>
          <w:p w14:paraId="0D60C007">
            <w:pPr>
              <w:jc w:val="center"/>
              <w:rPr>
                <w:rFonts w:hint="default" w:ascii="Times New Roman" w:hAnsi="Times New Roman" w:eastAsia="宋体" w:cs="Times New Roman"/>
                <w:sz w:val="21"/>
                <w:szCs w:val="21"/>
                <w:highlight w:val="none"/>
              </w:rPr>
            </w:pPr>
          </w:p>
        </w:tc>
        <w:tc>
          <w:tcPr>
            <w:tcW w:w="1548" w:type="pct"/>
            <w:vAlign w:val="center"/>
          </w:tcPr>
          <w:p w14:paraId="53B394C6">
            <w:pPr>
              <w:pStyle w:val="67"/>
              <w:spacing w:before="104"/>
              <w:jc w:val="center"/>
              <w:rPr>
                <w:rFonts w:hint="default" w:ascii="Times New Roman" w:hAnsi="Times New Roman" w:eastAsia="宋体" w:cs="Times New Roman"/>
                <w:b/>
                <w:sz w:val="21"/>
                <w:szCs w:val="21"/>
                <w:highlight w:val="none"/>
              </w:rPr>
            </w:pPr>
            <w:r>
              <w:rPr>
                <w:rFonts w:hint="default" w:ascii="Times New Roman" w:hAnsi="Times New Roman" w:eastAsia="宋体" w:cs="Times New Roman"/>
                <w:spacing w:val="-5"/>
                <w:sz w:val="21"/>
                <w:szCs w:val="21"/>
                <w:highlight w:val="none"/>
              </w:rPr>
              <w:t>风荷载</w:t>
            </w:r>
          </w:p>
        </w:tc>
        <w:tc>
          <w:tcPr>
            <w:tcW w:w="2347" w:type="pct"/>
            <w:vAlign w:val="center"/>
          </w:tcPr>
          <w:p w14:paraId="2B5F4DAB">
            <w:pPr>
              <w:pStyle w:val="67"/>
              <w:spacing w:before="66"/>
              <w:ind w:left="35"/>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pacing w:val="-10"/>
                <w:sz w:val="21"/>
                <w:szCs w:val="21"/>
                <w:highlight w:val="none"/>
              </w:rPr>
              <w:t xml:space="preserve">按照本标准 </w:t>
            </w:r>
            <w:r>
              <w:rPr>
                <w:rFonts w:hint="default" w:ascii="Times New Roman" w:hAnsi="Times New Roman" w:eastAsia="宋体" w:cs="Times New Roman"/>
                <w:spacing w:val="-2"/>
                <w:sz w:val="21"/>
                <w:szCs w:val="21"/>
                <w:highlight w:val="none"/>
              </w:rPr>
              <w:t>5.</w:t>
            </w:r>
            <w:r>
              <w:rPr>
                <w:rFonts w:hint="default" w:ascii="Times New Roman" w:hAnsi="Times New Roman" w:eastAsia="宋体" w:cs="Times New Roman"/>
                <w:spacing w:val="-2"/>
                <w:sz w:val="21"/>
                <w:szCs w:val="21"/>
                <w:highlight w:val="none"/>
                <w:lang w:val="en-US" w:eastAsia="zh-CN"/>
              </w:rPr>
              <w:t>2</w:t>
            </w:r>
            <w:r>
              <w:rPr>
                <w:rFonts w:hint="default" w:ascii="Times New Roman" w:hAnsi="Times New Roman" w:eastAsia="宋体" w:cs="Times New Roman"/>
                <w:spacing w:val="-2"/>
                <w:sz w:val="21"/>
                <w:szCs w:val="21"/>
                <w:highlight w:val="none"/>
              </w:rPr>
              <w:t>.</w:t>
            </w:r>
            <w:r>
              <w:rPr>
                <w:rFonts w:hint="eastAsia" w:ascii="Times New Roman" w:hAnsi="Times New Roman" w:cs="Times New Roman"/>
                <w:spacing w:val="-2"/>
                <w:sz w:val="21"/>
                <w:szCs w:val="21"/>
                <w:highlight w:val="none"/>
                <w:lang w:val="en-US" w:eastAsia="zh-CN"/>
              </w:rPr>
              <w:t>2</w:t>
            </w:r>
            <w:r>
              <w:rPr>
                <w:rFonts w:hint="default" w:ascii="Times New Roman" w:hAnsi="Times New Roman" w:eastAsia="宋体" w:cs="Times New Roman"/>
                <w:spacing w:val="2"/>
                <w:sz w:val="21"/>
                <w:szCs w:val="21"/>
                <w:highlight w:val="none"/>
              </w:rPr>
              <w:t xml:space="preserve"> </w:t>
            </w:r>
            <w:r>
              <w:rPr>
                <w:rFonts w:hint="default" w:ascii="Times New Roman" w:hAnsi="Times New Roman" w:eastAsia="宋体" w:cs="Times New Roman"/>
                <w:spacing w:val="-4"/>
                <w:sz w:val="21"/>
                <w:szCs w:val="21"/>
                <w:highlight w:val="none"/>
              </w:rPr>
              <w:t>条规定执行</w:t>
            </w:r>
          </w:p>
        </w:tc>
      </w:tr>
    </w:tbl>
    <w:p w14:paraId="7015526A">
      <w:pPr>
        <w:pStyle w:val="67"/>
        <w:spacing w:line="273" w:lineRule="auto"/>
        <w:rPr>
          <w:rFonts w:hint="eastAsia"/>
          <w:sz w:val="21"/>
        </w:rPr>
      </w:pPr>
    </w:p>
    <w:p w14:paraId="60D00214">
      <w:pPr>
        <w:rPr>
          <w:spacing w:val="-2"/>
          <w:highlight w:val="none"/>
        </w:rPr>
      </w:pPr>
      <w:bookmarkStart w:id="82" w:name="_Toc13285"/>
      <w:r>
        <w:rPr>
          <w:rFonts w:hint="eastAsia"/>
          <w:b/>
          <w:bCs/>
          <w:highlight w:val="none"/>
        </w:rPr>
        <w:t>5</w:t>
      </w:r>
      <w:r>
        <w:rPr>
          <w:b/>
          <w:bCs/>
          <w:highlight w:val="none"/>
        </w:rPr>
        <w:t>.2.</w:t>
      </w:r>
      <w:r>
        <w:rPr>
          <w:rFonts w:hint="eastAsia"/>
          <w:b/>
          <w:bCs/>
          <w:highlight w:val="none"/>
          <w:lang w:val="en-US" w:eastAsia="zh-CN"/>
        </w:rPr>
        <w:t>2</w:t>
      </w:r>
      <w:r>
        <w:rPr>
          <w:rFonts w:hint="eastAsia"/>
          <w:highlight w:val="none"/>
        </w:rPr>
        <w:t xml:space="preserve">  </w:t>
      </w:r>
      <w:bookmarkEnd w:id="82"/>
      <w:bookmarkStart w:id="83" w:name="_Toc9559"/>
      <w:bookmarkStart w:id="84" w:name="_Toc26286"/>
      <w:r>
        <w:rPr>
          <w:highlight w:val="none"/>
        </w:rPr>
        <w:t>风荷载计算应符合现行国家标准《建筑结构荷载规范》</w:t>
      </w:r>
      <w:r>
        <w:rPr>
          <w:rFonts w:eastAsia="Times New Roman"/>
          <w:highlight w:val="none"/>
        </w:rPr>
        <w:t>GB50009</w:t>
      </w:r>
      <w:r>
        <w:rPr>
          <w:rFonts w:eastAsia="Times New Roman"/>
          <w:spacing w:val="-15"/>
          <w:highlight w:val="none"/>
        </w:rPr>
        <w:t xml:space="preserve"> </w:t>
      </w:r>
      <w:r>
        <w:rPr>
          <w:highlight w:val="none"/>
        </w:rPr>
        <w:t>的规定，</w:t>
      </w:r>
      <w:r>
        <w:rPr>
          <w:spacing w:val="-2"/>
          <w:highlight w:val="none"/>
        </w:rPr>
        <w:t>风荷载标准值可按下式进行计算：</w:t>
      </w:r>
    </w:p>
    <w:p w14:paraId="16CBCC82">
      <w:pPr>
        <w:jc w:val="center"/>
        <w:rPr>
          <w:rFonts w:hint="eastAsia"/>
          <w:color w:val="000000" w:themeColor="text1"/>
          <w:spacing w:val="-2"/>
          <w:highlight w:val="none"/>
          <w14:textFill>
            <w14:solidFill>
              <w14:schemeClr w14:val="tx1"/>
            </w14:solidFill>
          </w14:textFill>
        </w:rPr>
      </w:pPr>
      <w:r>
        <w:rPr>
          <w:rFonts w:hint="eastAsia"/>
          <w:i/>
          <w:iCs/>
          <w:color w:val="000000" w:themeColor="text1"/>
          <w:spacing w:val="-2"/>
          <w14:textFill>
            <w14:solidFill>
              <w14:schemeClr w14:val="tx1"/>
            </w14:solidFill>
          </w14:textFill>
        </w:rPr>
        <w:t>w</w:t>
      </w:r>
      <w:r>
        <w:rPr>
          <w:rFonts w:hint="eastAsia"/>
          <w:i/>
          <w:iCs/>
          <w:color w:val="000000" w:themeColor="text1"/>
          <w:spacing w:val="-2"/>
          <w:vertAlign w:val="subscript"/>
          <w14:textFill>
            <w14:solidFill>
              <w14:schemeClr w14:val="tx1"/>
            </w14:solidFill>
          </w14:textFill>
        </w:rPr>
        <w:t xml:space="preserve">k </w:t>
      </w:r>
      <w:r>
        <w:rPr>
          <w:rFonts w:hint="eastAsia"/>
          <w:i/>
          <w:iCs/>
          <w:color w:val="000000" w:themeColor="text1"/>
          <w:spacing w:val="-2"/>
          <w14:textFill>
            <w14:solidFill>
              <w14:schemeClr w14:val="tx1"/>
            </w14:solidFill>
          </w14:textFill>
        </w:rPr>
        <w:t>=</w:t>
      </w:r>
      <w:r>
        <w:rPr>
          <w:i/>
          <w:iCs/>
          <w:color w:val="000000" w:themeColor="text1"/>
          <w14:textFill>
            <w14:solidFill>
              <w14:schemeClr w14:val="tx1"/>
            </w14:solidFill>
          </w14:textFill>
        </w:rPr>
        <w:t>β</w:t>
      </w:r>
      <w:r>
        <w:rPr>
          <w:i/>
          <w:iCs/>
          <w:color w:val="000000" w:themeColor="text1"/>
          <w:vertAlign w:val="subscript"/>
          <w14:textFill>
            <w14:solidFill>
              <w14:schemeClr w14:val="tx1"/>
            </w14:solidFill>
          </w14:textFill>
        </w:rPr>
        <w:t>gz</w:t>
      </w:r>
      <w:r>
        <w:rPr>
          <w:rFonts w:hint="eastAsia"/>
          <w:i/>
          <w:iCs/>
          <w:color w:val="000000" w:themeColor="text1"/>
          <w:vertAlign w:val="subscript"/>
          <w14:textFill>
            <w14:solidFill>
              <w14:schemeClr w14:val="tx1"/>
            </w14:solidFill>
          </w14:textFill>
        </w:rPr>
        <w:t xml:space="preserve"> </w:t>
      </w:r>
      <w:r>
        <w:rPr>
          <w:i/>
          <w:iCs/>
          <w:color w:val="000000" w:themeColor="text1"/>
          <w14:textFill>
            <w14:solidFill>
              <w14:schemeClr w14:val="tx1"/>
            </w14:solidFill>
          </w14:textFill>
        </w:rPr>
        <w:t>µ</w:t>
      </w:r>
      <w:r>
        <w:rPr>
          <w:i/>
          <w:iCs/>
          <w:color w:val="000000" w:themeColor="text1"/>
          <w:vertAlign w:val="subscript"/>
          <w14:textFill>
            <w14:solidFill>
              <w14:schemeClr w14:val="tx1"/>
            </w14:solidFill>
          </w14:textFill>
        </w:rPr>
        <w:t>sl</w:t>
      </w:r>
      <w:r>
        <w:rPr>
          <w:rFonts w:hint="eastAsia"/>
          <w:i/>
          <w:iCs/>
          <w:color w:val="000000" w:themeColor="text1"/>
          <w:vertAlign w:val="subscript"/>
          <w14:textFill>
            <w14:solidFill>
              <w14:schemeClr w14:val="tx1"/>
            </w14:solidFill>
          </w14:textFill>
        </w:rPr>
        <w:t xml:space="preserve"> </w:t>
      </w:r>
      <w:r>
        <w:rPr>
          <w:i/>
          <w:iCs/>
          <w:color w:val="000000" w:themeColor="text1"/>
          <w14:textFill>
            <w14:solidFill>
              <w14:schemeClr w14:val="tx1"/>
            </w14:solidFill>
          </w14:textFill>
        </w:rPr>
        <w:t>µ</w:t>
      </w:r>
      <w:r>
        <w:rPr>
          <w:rFonts w:hint="eastAsia"/>
          <w:i/>
          <w:iCs/>
          <w:color w:val="000000" w:themeColor="text1"/>
          <w:vertAlign w:val="subscript"/>
          <w14:textFill>
            <w14:solidFill>
              <w14:schemeClr w14:val="tx1"/>
            </w14:solidFill>
          </w14:textFill>
        </w:rPr>
        <w:t>z</w:t>
      </w:r>
      <w:r>
        <w:rPr>
          <w:i/>
          <w:iCs/>
          <w:color w:val="000000" w:themeColor="text1"/>
          <w14:textFill>
            <w14:solidFill>
              <w14:schemeClr w14:val="tx1"/>
            </w14:solidFill>
          </w14:textFill>
        </w:rPr>
        <w:t xml:space="preserve"> w</w:t>
      </w:r>
      <w:r>
        <w:rPr>
          <w:i/>
          <w:iCs/>
          <w:color w:val="000000" w:themeColor="text1"/>
          <w:vertAlign w:val="subscript"/>
          <w14:textFill>
            <w14:solidFill>
              <w14:schemeClr w14:val="tx1"/>
            </w14:solidFill>
          </w14:textFill>
        </w:rPr>
        <w:t>0</w:t>
      </w:r>
    </w:p>
    <w:p w14:paraId="473DBE21">
      <w:pPr>
        <w:pStyle w:val="11"/>
        <w:spacing w:before="111"/>
        <w:rPr>
          <w:rFonts w:ascii="Times New Roman" w:hAnsi="Times New Roman"/>
          <w:color w:val="000000" w:themeColor="text1"/>
          <w:kern w:val="2"/>
          <w:sz w:val="24"/>
          <w:szCs w:val="24"/>
          <w:lang w:eastAsia="zh-CN"/>
          <w14:textFill>
            <w14:solidFill>
              <w14:schemeClr w14:val="tx1"/>
            </w14:solidFill>
          </w14:textFill>
        </w:rPr>
      </w:pPr>
      <w:r>
        <w:rPr>
          <w:rFonts w:ascii="Times New Roman" w:hAnsi="Times New Roman"/>
          <w:color w:val="000000" w:themeColor="text1"/>
          <w:kern w:val="2"/>
          <w:sz w:val="24"/>
          <w:szCs w:val="24"/>
          <w:lang w:eastAsia="zh-CN"/>
          <w14:textFill>
            <w14:solidFill>
              <w14:schemeClr w14:val="tx1"/>
            </w14:solidFill>
          </w14:textFill>
        </w:rPr>
        <w:t>式中</w:t>
      </w:r>
      <w:r>
        <w:rPr>
          <w:rFonts w:hint="eastAsia" w:ascii="Times New Roman" w:hAnsi="Times New Roman"/>
          <w:color w:val="000000" w:themeColor="text1"/>
          <w:kern w:val="2"/>
          <w:sz w:val="24"/>
          <w:szCs w:val="24"/>
          <w:lang w:eastAsia="zh-CN"/>
          <w14:textFill>
            <w14:solidFill>
              <w14:schemeClr w14:val="tx1"/>
            </w14:solidFill>
          </w14:textFill>
        </w:rPr>
        <w:t>：</w:t>
      </w:r>
      <w:r>
        <w:rPr>
          <w:rFonts w:ascii="Times New Roman" w:hAnsi="Times New Roman"/>
          <w:i/>
          <w:iCs/>
          <w:color w:val="000000" w:themeColor="text1"/>
          <w:kern w:val="2"/>
          <w:sz w:val="24"/>
          <w:szCs w:val="24"/>
          <w:lang w:eastAsia="zh-CN"/>
          <w14:textFill>
            <w14:solidFill>
              <w14:schemeClr w14:val="tx1"/>
            </w14:solidFill>
          </w14:textFill>
        </w:rPr>
        <w:t>w</w:t>
      </w:r>
      <w:r>
        <w:rPr>
          <w:rFonts w:ascii="Times New Roman" w:hAnsi="Times New Roman"/>
          <w:i/>
          <w:iCs/>
          <w:color w:val="000000" w:themeColor="text1"/>
          <w:kern w:val="2"/>
          <w:sz w:val="24"/>
          <w:szCs w:val="24"/>
          <w:vertAlign w:val="subscript"/>
          <w:lang w:eastAsia="zh-CN"/>
          <w14:textFill>
            <w14:solidFill>
              <w14:schemeClr w14:val="tx1"/>
            </w14:solidFill>
          </w14:textFill>
        </w:rPr>
        <w:t>k</w:t>
      </w:r>
      <w:r>
        <w:rPr>
          <w:rFonts w:ascii="Times New Roman" w:hAnsi="Times New Roman"/>
          <w:color w:val="000000" w:themeColor="text1"/>
          <w:kern w:val="2"/>
          <w:sz w:val="24"/>
          <w:szCs w:val="24"/>
          <w:lang w:eastAsia="zh-CN"/>
          <w14:textFill>
            <w14:solidFill>
              <w14:schemeClr w14:val="tx1"/>
            </w14:solidFill>
          </w14:textFill>
        </w:rPr>
        <w:t>——风荷载标准值</w:t>
      </w:r>
      <w:r>
        <w:rPr>
          <w:rFonts w:hint="eastAsia" w:ascii="Times New Roman" w:hAnsi="Times New Roman"/>
          <w:color w:val="000000" w:themeColor="text1"/>
          <w:kern w:val="2"/>
          <w:sz w:val="24"/>
          <w:szCs w:val="24"/>
          <w:lang w:eastAsia="zh-CN"/>
          <w14:textFill>
            <w14:solidFill>
              <w14:schemeClr w14:val="tx1"/>
            </w14:solidFill>
          </w14:textFill>
        </w:rPr>
        <w:t>（</w:t>
      </w:r>
      <w:r>
        <w:rPr>
          <w:rFonts w:ascii="Times New Roman" w:hAnsi="Times New Roman"/>
          <w:color w:val="000000" w:themeColor="text1"/>
          <w:kern w:val="2"/>
          <w:sz w:val="24"/>
          <w:szCs w:val="24"/>
          <w:lang w:eastAsia="zh-CN"/>
          <w14:textFill>
            <w14:solidFill>
              <w14:schemeClr w14:val="tx1"/>
            </w14:solidFill>
          </w14:textFill>
        </w:rPr>
        <w:t>kN/m</w:t>
      </w:r>
      <w:r>
        <w:rPr>
          <w:rFonts w:ascii="Times New Roman" w:hAnsi="Times New Roman"/>
          <w:color w:val="000000" w:themeColor="text1"/>
          <w:kern w:val="2"/>
          <w:sz w:val="24"/>
          <w:szCs w:val="24"/>
          <w:vertAlign w:val="superscript"/>
          <w:lang w:eastAsia="zh-CN"/>
          <w14:textFill>
            <w14:solidFill>
              <w14:schemeClr w14:val="tx1"/>
            </w14:solidFill>
          </w14:textFill>
        </w:rPr>
        <w:t>2</w:t>
      </w:r>
      <w:r>
        <w:rPr>
          <w:rFonts w:hint="eastAsia" w:ascii="Times New Roman" w:hAnsi="Times New Roman"/>
          <w:color w:val="000000" w:themeColor="text1"/>
          <w:kern w:val="2"/>
          <w:sz w:val="24"/>
          <w:szCs w:val="24"/>
          <w:vertAlign w:val="superscript"/>
          <w:lang w:eastAsia="zh-CN"/>
          <w14:textFill>
            <w14:solidFill>
              <w14:schemeClr w14:val="tx1"/>
            </w14:solidFill>
          </w14:textFill>
        </w:rPr>
        <w:t>）</w:t>
      </w:r>
      <w:r>
        <w:rPr>
          <w:rFonts w:ascii="Times New Roman" w:hAnsi="Times New Roman"/>
          <w:color w:val="000000" w:themeColor="text1"/>
          <w:kern w:val="2"/>
          <w:sz w:val="24"/>
          <w:szCs w:val="24"/>
          <w:lang w:eastAsia="zh-CN"/>
          <w14:textFill>
            <w14:solidFill>
              <w14:schemeClr w14:val="tx1"/>
            </w14:solidFill>
          </w14:textFill>
        </w:rPr>
        <w:t>；</w:t>
      </w:r>
    </w:p>
    <w:p w14:paraId="26B3C89D">
      <w:pPr>
        <w:pStyle w:val="11"/>
        <w:spacing w:before="226"/>
        <w:ind w:firstLine="310"/>
        <w:rPr>
          <w:rFonts w:ascii="Times New Roman" w:hAnsi="Times New Roman"/>
          <w:color w:val="000000" w:themeColor="text1"/>
          <w:kern w:val="2"/>
          <w:sz w:val="24"/>
          <w:szCs w:val="24"/>
          <w:lang w:eastAsia="zh-CN"/>
          <w14:textFill>
            <w14:solidFill>
              <w14:schemeClr w14:val="tx1"/>
            </w14:solidFill>
          </w14:textFill>
        </w:rPr>
      </w:pPr>
      <w:r>
        <w:rPr>
          <w:rFonts w:ascii="Times New Roman" w:hAnsi="Times New Roman"/>
          <w:i/>
          <w:iCs/>
          <w:color w:val="000000" w:themeColor="text1"/>
          <w:kern w:val="2"/>
          <w:sz w:val="24"/>
          <w:szCs w:val="24"/>
          <w:lang w:eastAsia="zh-CN"/>
          <w14:textFill>
            <w14:solidFill>
              <w14:schemeClr w14:val="tx1"/>
            </w14:solidFill>
          </w14:textFill>
        </w:rPr>
        <w:t>β</w:t>
      </w:r>
      <w:r>
        <w:rPr>
          <w:rFonts w:ascii="Times New Roman" w:hAnsi="Times New Roman"/>
          <w:i/>
          <w:iCs/>
          <w:color w:val="000000" w:themeColor="text1"/>
          <w:kern w:val="2"/>
          <w:sz w:val="24"/>
          <w:szCs w:val="24"/>
          <w:vertAlign w:val="subscript"/>
          <w:lang w:eastAsia="zh-CN"/>
          <w14:textFill>
            <w14:solidFill>
              <w14:schemeClr w14:val="tx1"/>
            </w14:solidFill>
          </w14:textFill>
        </w:rPr>
        <w:t>gz</w:t>
      </w:r>
      <w:r>
        <w:rPr>
          <w:rFonts w:ascii="Times New Roman" w:hAnsi="Times New Roman"/>
          <w:color w:val="000000" w:themeColor="text1"/>
          <w:kern w:val="2"/>
          <w:sz w:val="24"/>
          <w:szCs w:val="24"/>
          <w:lang w:eastAsia="zh-CN"/>
          <w14:textFill>
            <w14:solidFill>
              <w14:schemeClr w14:val="tx1"/>
            </w14:solidFill>
          </w14:textFill>
        </w:rPr>
        <w:t>——高度 z 处的阵风系数；</w:t>
      </w:r>
    </w:p>
    <w:p w14:paraId="5A23F398">
      <w:pPr>
        <w:pStyle w:val="11"/>
        <w:spacing w:before="242"/>
        <w:ind w:left="420" w:right="4930"/>
        <w:rPr>
          <w:rFonts w:ascii="Times New Roman" w:hAnsi="Times New Roman"/>
          <w:color w:val="000000" w:themeColor="text1"/>
          <w:kern w:val="2"/>
          <w:sz w:val="24"/>
          <w:szCs w:val="24"/>
          <w:lang w:eastAsia="zh-CN"/>
          <w14:textFill>
            <w14:solidFill>
              <w14:schemeClr w14:val="tx1"/>
            </w14:solidFill>
          </w14:textFill>
        </w:rPr>
      </w:pPr>
      <w:r>
        <w:rPr>
          <w:rFonts w:ascii="Times New Roman" w:hAnsi="Times New Roman"/>
          <w:i/>
          <w:iCs/>
          <w:color w:val="000000" w:themeColor="text1"/>
          <w:kern w:val="2"/>
          <w:sz w:val="24"/>
          <w:szCs w:val="24"/>
          <w:lang w:eastAsia="zh-CN"/>
          <w14:textFill>
            <w14:solidFill>
              <w14:schemeClr w14:val="tx1"/>
            </w14:solidFill>
          </w14:textFill>
        </w:rPr>
        <w:t>µ</w:t>
      </w:r>
      <w:r>
        <w:rPr>
          <w:rFonts w:ascii="Times New Roman" w:hAnsi="Times New Roman"/>
          <w:i/>
          <w:iCs/>
          <w:color w:val="000000" w:themeColor="text1"/>
          <w:kern w:val="2"/>
          <w:sz w:val="24"/>
          <w:szCs w:val="24"/>
          <w:vertAlign w:val="subscript"/>
          <w:lang w:eastAsia="zh-CN"/>
          <w14:textFill>
            <w14:solidFill>
              <w14:schemeClr w14:val="tx1"/>
            </w14:solidFill>
          </w14:textFill>
        </w:rPr>
        <w:t>sl</w:t>
      </w:r>
      <w:r>
        <w:rPr>
          <w:rFonts w:ascii="Times New Roman" w:hAnsi="Times New Roman"/>
          <w:color w:val="000000" w:themeColor="text1"/>
          <w:kern w:val="2"/>
          <w:sz w:val="24"/>
          <w:szCs w:val="24"/>
          <w:lang w:eastAsia="zh-CN"/>
          <w14:textFill>
            <w14:solidFill>
              <w14:schemeClr w14:val="tx1"/>
            </w14:solidFill>
          </w14:textFill>
        </w:rPr>
        <w:t xml:space="preserve">——风荷载局部体型系数； </w:t>
      </w:r>
    </w:p>
    <w:p w14:paraId="603287FA">
      <w:pPr>
        <w:pStyle w:val="11"/>
        <w:spacing w:before="242"/>
        <w:ind w:left="420" w:right="4930"/>
        <w:rPr>
          <w:rFonts w:ascii="Times New Roman" w:hAnsi="Times New Roman"/>
          <w:color w:val="000000" w:themeColor="text1"/>
          <w:kern w:val="2"/>
          <w:sz w:val="24"/>
          <w:szCs w:val="24"/>
          <w:lang w:eastAsia="zh-CN"/>
          <w14:textFill>
            <w14:solidFill>
              <w14:schemeClr w14:val="tx1"/>
            </w14:solidFill>
          </w14:textFill>
        </w:rPr>
      </w:pPr>
      <w:r>
        <w:rPr>
          <w:rFonts w:ascii="Times New Roman" w:hAnsi="Times New Roman"/>
          <w:i/>
          <w:iCs/>
          <w:color w:val="000000" w:themeColor="text1"/>
          <w:kern w:val="2"/>
          <w:sz w:val="24"/>
          <w:szCs w:val="24"/>
          <w:lang w:eastAsia="zh-CN"/>
          <w14:textFill>
            <w14:solidFill>
              <w14:schemeClr w14:val="tx1"/>
            </w14:solidFill>
          </w14:textFill>
        </w:rPr>
        <w:t>µ</w:t>
      </w:r>
      <w:r>
        <w:rPr>
          <w:rFonts w:hint="eastAsia" w:ascii="Times New Roman" w:hAnsi="Times New Roman"/>
          <w:i/>
          <w:iCs/>
          <w:color w:val="000000" w:themeColor="text1"/>
          <w:kern w:val="2"/>
          <w:sz w:val="24"/>
          <w:szCs w:val="24"/>
          <w:vertAlign w:val="subscript"/>
          <w:lang w:eastAsia="zh-CN"/>
          <w14:textFill>
            <w14:solidFill>
              <w14:schemeClr w14:val="tx1"/>
            </w14:solidFill>
          </w14:textFill>
        </w:rPr>
        <w:t>z</w:t>
      </w:r>
      <w:r>
        <w:rPr>
          <w:rFonts w:ascii="Times New Roman" w:hAnsi="Times New Roman"/>
          <w:color w:val="000000" w:themeColor="text1"/>
          <w:kern w:val="2"/>
          <w:sz w:val="24"/>
          <w:szCs w:val="24"/>
          <w:lang w:eastAsia="zh-CN"/>
          <w14:textFill>
            <w14:solidFill>
              <w14:schemeClr w14:val="tx1"/>
            </w14:solidFill>
          </w14:textFill>
        </w:rPr>
        <w:t>——</w:t>
      </w:r>
      <w:r>
        <w:rPr>
          <w:rFonts w:hint="eastAsia" w:ascii="Times New Roman" w:hAnsi="Times New Roman"/>
          <w:color w:val="000000" w:themeColor="text1"/>
          <w:kern w:val="2"/>
          <w:sz w:val="24"/>
          <w:szCs w:val="24"/>
          <w:lang w:eastAsia="zh-CN"/>
          <w14:textFill>
            <w14:solidFill>
              <w14:schemeClr w14:val="tx1"/>
            </w14:solidFill>
          </w14:textFill>
        </w:rPr>
        <w:t>风压高度变化系数</w:t>
      </w:r>
      <w:r>
        <w:rPr>
          <w:rFonts w:ascii="Times New Roman" w:hAnsi="Times New Roman"/>
          <w:color w:val="000000" w:themeColor="text1"/>
          <w:kern w:val="2"/>
          <w:sz w:val="24"/>
          <w:szCs w:val="24"/>
          <w:lang w:eastAsia="zh-CN"/>
          <w14:textFill>
            <w14:solidFill>
              <w14:schemeClr w14:val="tx1"/>
            </w14:solidFill>
          </w14:textFill>
        </w:rPr>
        <w:t>；</w:t>
      </w:r>
    </w:p>
    <w:p w14:paraId="3044EFC7">
      <w:pPr>
        <w:pStyle w:val="11"/>
        <w:spacing w:before="242"/>
        <w:ind w:left="420" w:right="4930"/>
        <w:rPr>
          <w:rFonts w:ascii="Times New Roman" w:hAnsi="Times New Roman"/>
          <w:color w:val="000000" w:themeColor="text1"/>
          <w:kern w:val="2"/>
          <w:sz w:val="24"/>
          <w:szCs w:val="24"/>
          <w:lang w:eastAsia="zh-CN"/>
          <w14:textFill>
            <w14:solidFill>
              <w14:schemeClr w14:val="tx1"/>
            </w14:solidFill>
          </w14:textFill>
        </w:rPr>
      </w:pPr>
      <w:r>
        <w:rPr>
          <w:rFonts w:hint="eastAsia" w:ascii="Times New Roman" w:hAnsi="Times New Roman"/>
          <w:i/>
          <w:iCs/>
          <w:color w:val="000000" w:themeColor="text1"/>
          <w:kern w:val="2"/>
          <w:sz w:val="24"/>
          <w:szCs w:val="24"/>
          <w:lang w:eastAsia="zh-CN"/>
          <w14:textFill>
            <w14:solidFill>
              <w14:schemeClr w14:val="tx1"/>
            </w14:solidFill>
          </w14:textFill>
        </w:rPr>
        <w:t>w</w:t>
      </w:r>
      <w:r>
        <w:rPr>
          <w:rFonts w:ascii="Times New Roman" w:hAnsi="Times New Roman"/>
          <w:i/>
          <w:iCs/>
          <w:color w:val="000000" w:themeColor="text1"/>
          <w:kern w:val="2"/>
          <w:sz w:val="24"/>
          <w:szCs w:val="24"/>
          <w:vertAlign w:val="subscript"/>
          <w:lang w:eastAsia="zh-CN"/>
          <w14:textFill>
            <w14:solidFill>
              <w14:schemeClr w14:val="tx1"/>
            </w14:solidFill>
          </w14:textFill>
        </w:rPr>
        <w:t>0</w:t>
      </w:r>
      <w:r>
        <w:rPr>
          <w:rFonts w:ascii="Times New Roman" w:hAnsi="Times New Roman"/>
          <w:color w:val="000000" w:themeColor="text1"/>
          <w:kern w:val="2"/>
          <w:sz w:val="24"/>
          <w:szCs w:val="24"/>
          <w:lang w:eastAsia="zh-CN"/>
          <w14:textFill>
            <w14:solidFill>
              <w14:schemeClr w14:val="tx1"/>
            </w14:solidFill>
          </w14:textFill>
        </w:rPr>
        <w:t>——基本风压</w:t>
      </w:r>
      <w:r>
        <w:rPr>
          <w:rFonts w:hint="eastAsia" w:ascii="Times New Roman" w:hAnsi="Times New Roman"/>
          <w:color w:val="000000" w:themeColor="text1"/>
          <w:kern w:val="2"/>
          <w:sz w:val="24"/>
          <w:szCs w:val="24"/>
          <w:lang w:eastAsia="zh-CN"/>
          <w14:textFill>
            <w14:solidFill>
              <w14:schemeClr w14:val="tx1"/>
            </w14:solidFill>
          </w14:textFill>
        </w:rPr>
        <w:t>（</w:t>
      </w:r>
      <w:r>
        <w:rPr>
          <w:rFonts w:ascii="Times New Roman" w:hAnsi="Times New Roman"/>
          <w:color w:val="000000" w:themeColor="text1"/>
          <w:kern w:val="2"/>
          <w:sz w:val="24"/>
          <w:szCs w:val="24"/>
          <w:lang w:eastAsia="zh-CN"/>
          <w14:textFill>
            <w14:solidFill>
              <w14:schemeClr w14:val="tx1"/>
            </w14:solidFill>
          </w14:textFill>
        </w:rPr>
        <w:t>kN/</w:t>
      </w:r>
      <w:r>
        <w:rPr>
          <w:rFonts w:hint="eastAsia" w:ascii="Times New Roman" w:hAnsi="Times New Roman"/>
          <w:color w:val="000000" w:themeColor="text1"/>
          <w:kern w:val="2"/>
          <w:sz w:val="24"/>
          <w:szCs w:val="24"/>
          <w:lang w:eastAsia="zh-CN"/>
          <w14:textFill>
            <w14:solidFill>
              <w14:schemeClr w14:val="tx1"/>
            </w14:solidFill>
          </w14:textFill>
        </w:rPr>
        <w:t>㎡）</w:t>
      </w:r>
      <w:r>
        <w:rPr>
          <w:rFonts w:ascii="Times New Roman" w:hAnsi="Times New Roman"/>
          <w:color w:val="000000" w:themeColor="text1"/>
          <w:kern w:val="2"/>
          <w:sz w:val="24"/>
          <w:szCs w:val="24"/>
          <w:lang w:eastAsia="zh-CN"/>
          <w14:textFill>
            <w14:solidFill>
              <w14:schemeClr w14:val="tx1"/>
            </w14:solidFill>
          </w14:textFill>
        </w:rPr>
        <w:t>；</w:t>
      </w:r>
    </w:p>
    <w:p w14:paraId="69552460">
      <w:pPr>
        <w:pStyle w:val="11"/>
        <w:keepNext w:val="0"/>
        <w:keepLines w:val="0"/>
        <w:pageBreakBefore w:val="0"/>
        <w:widowControl w:val="0"/>
        <w:kinsoku/>
        <w:wordWrap/>
        <w:overflowPunct/>
        <w:topLinePunct w:val="0"/>
        <w:autoSpaceDE/>
        <w:autoSpaceDN/>
        <w:bidi w:val="0"/>
        <w:adjustRightInd/>
        <w:snapToGrid/>
        <w:ind w:left="108" w:firstLine="480" w:firstLineChars="200"/>
        <w:textAlignment w:val="auto"/>
        <w:rPr>
          <w:rFonts w:hint="eastAsia" w:ascii="Times New Roman" w:hAnsi="Times New Roman"/>
          <w:color w:val="auto"/>
          <w:kern w:val="2"/>
          <w:sz w:val="24"/>
          <w:szCs w:val="24"/>
          <w:lang w:eastAsia="zh-CN"/>
        </w:rPr>
      </w:pPr>
      <w:r>
        <w:rPr>
          <w:rFonts w:hint="eastAsia" w:ascii="Times New Roman" w:hAnsi="Times New Roman"/>
          <w:color w:val="auto"/>
          <w:kern w:val="2"/>
          <w:sz w:val="24"/>
          <w:szCs w:val="24"/>
          <w:lang w:eastAsia="zh-CN"/>
        </w:rPr>
        <w:t>基本风压应按《建筑结构荷载规范》GB50009取值。作业工况、停工工况取50年重现期的风压，顶升工况、提升工况取10年重现期的风压，均不得小于0.3kN/㎡</w:t>
      </w:r>
      <w:r>
        <w:rPr>
          <w:rFonts w:ascii="Times New Roman" w:hAnsi="Times New Roman"/>
          <w:color w:val="auto"/>
          <w:kern w:val="2"/>
          <w:sz w:val="24"/>
          <w:szCs w:val="24"/>
          <w:lang w:eastAsia="zh-CN"/>
        </w:rPr>
        <w:t>。</w:t>
      </w:r>
    </w:p>
    <w:p w14:paraId="36DCD063">
      <w:pPr>
        <w:rPr>
          <w:spacing w:val="-2"/>
        </w:rPr>
      </w:pPr>
      <w:r>
        <w:rPr>
          <w:rFonts w:hint="eastAsia"/>
          <w:b/>
          <w:bCs/>
        </w:rPr>
        <w:t>5</w:t>
      </w:r>
      <w:r>
        <w:rPr>
          <w:b/>
          <w:bCs/>
        </w:rPr>
        <w:t>.2.</w:t>
      </w:r>
      <w:r>
        <w:rPr>
          <w:rFonts w:hint="eastAsia"/>
          <w:b/>
          <w:bCs/>
          <w:lang w:val="en-US" w:eastAsia="zh-CN"/>
        </w:rPr>
        <w:t>3</w:t>
      </w:r>
      <w:r>
        <w:rPr>
          <w:rFonts w:hint="eastAsia"/>
        </w:rPr>
        <w:t xml:space="preserve">  </w:t>
      </w:r>
      <w:r>
        <w:t>集成平台整体结构计算的作用组合应符合表5.</w:t>
      </w:r>
      <w:r>
        <w:rPr>
          <w:rFonts w:hint="eastAsia"/>
        </w:rPr>
        <w:t>2</w:t>
      </w:r>
      <w:r>
        <w:t>.</w:t>
      </w:r>
      <w:r>
        <w:rPr>
          <w:rFonts w:hint="eastAsia"/>
          <w:lang w:val="en-US" w:eastAsia="zh-CN"/>
        </w:rPr>
        <w:t>3</w:t>
      </w:r>
      <w:r>
        <w:t xml:space="preserve"> 的规定：</w:t>
      </w:r>
    </w:p>
    <w:p w14:paraId="0ED95995">
      <w:pPr>
        <w:tabs>
          <w:tab w:val="left" w:pos="3896"/>
        </w:tabs>
        <w:spacing w:before="174"/>
        <w:ind w:left="3003"/>
        <w:rPr>
          <w:rFonts w:hint="eastAsia" w:ascii="Arial" w:hAnsi="Arial" w:eastAsia="黑体" w:cs="Arial"/>
          <w:b w:val="0"/>
          <w:bCs/>
          <w:spacing w:val="-4"/>
          <w:sz w:val="20"/>
          <w:szCs w:val="20"/>
          <w:lang w:eastAsia="zh-CN"/>
        </w:rPr>
      </w:pPr>
      <w:r>
        <w:rPr>
          <w:rFonts w:hint="default" w:ascii="Arial" w:hAnsi="Arial" w:eastAsia="黑体" w:cs="Arial"/>
          <w:b w:val="0"/>
          <w:bCs/>
          <w:spacing w:val="-4"/>
          <w:sz w:val="20"/>
          <w:szCs w:val="20"/>
        </w:rPr>
        <w:t>表 5.</w:t>
      </w:r>
      <w:r>
        <w:rPr>
          <w:rFonts w:hint="eastAsia" w:ascii="Arial" w:hAnsi="Arial" w:eastAsia="黑体" w:cs="Arial"/>
          <w:b w:val="0"/>
          <w:bCs/>
          <w:spacing w:val="-4"/>
          <w:sz w:val="20"/>
          <w:szCs w:val="20"/>
        </w:rPr>
        <w:t>2</w:t>
      </w:r>
      <w:r>
        <w:rPr>
          <w:rFonts w:hint="default" w:ascii="Arial" w:hAnsi="Arial" w:eastAsia="黑体" w:cs="Arial"/>
          <w:b w:val="0"/>
          <w:bCs/>
          <w:spacing w:val="-4"/>
          <w:sz w:val="20"/>
          <w:szCs w:val="20"/>
        </w:rPr>
        <w:t>.</w:t>
      </w:r>
      <w:r>
        <w:rPr>
          <w:rFonts w:hint="eastAsia" w:ascii="Arial" w:hAnsi="Arial" w:eastAsia="黑体" w:cs="Arial"/>
          <w:b w:val="0"/>
          <w:bCs/>
          <w:spacing w:val="-4"/>
          <w:sz w:val="20"/>
          <w:szCs w:val="20"/>
          <w:lang w:val="en-US" w:eastAsia="zh-CN"/>
        </w:rPr>
        <w:t xml:space="preserve">3  </w:t>
      </w:r>
      <w:r>
        <w:rPr>
          <w:rFonts w:hint="default" w:ascii="Arial" w:hAnsi="Arial" w:eastAsia="黑体" w:cs="Arial"/>
          <w:b w:val="0"/>
          <w:bCs/>
          <w:spacing w:val="-4"/>
          <w:sz w:val="20"/>
          <w:szCs w:val="20"/>
        </w:rPr>
        <w:tab/>
      </w:r>
      <w:r>
        <w:rPr>
          <w:rFonts w:hint="default" w:ascii="Arial" w:hAnsi="Arial" w:eastAsia="黑体" w:cs="Arial"/>
          <w:b w:val="0"/>
          <w:bCs/>
          <w:spacing w:val="-4"/>
          <w:sz w:val="20"/>
          <w:szCs w:val="20"/>
        </w:rPr>
        <w:t>集成平台整体结构计算的作用组合</w:t>
      </w:r>
    </w:p>
    <w:tbl>
      <w:tblPr>
        <w:tblStyle w:val="66"/>
        <w:tblW w:w="0" w:type="auto"/>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60"/>
        <w:gridCol w:w="6165"/>
        <w:gridCol w:w="1597"/>
      </w:tblGrid>
      <w:tr w14:paraId="3502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trPr>
        <w:tc>
          <w:tcPr>
            <w:tcW w:w="760" w:type="dxa"/>
            <w:vMerge w:val="restart"/>
          </w:tcPr>
          <w:p w14:paraId="5E0A72F3">
            <w:pPr>
              <w:pStyle w:val="67"/>
              <w:spacing w:before="107"/>
              <w:rPr>
                <w:rFonts w:hint="eastAsia" w:ascii="黑体" w:hAnsi="黑体" w:eastAsia="黑体" w:cs="黑体"/>
                <w:b/>
                <w:sz w:val="21"/>
              </w:rPr>
            </w:pPr>
          </w:p>
          <w:p w14:paraId="51E8BA41">
            <w:pPr>
              <w:pStyle w:val="67"/>
              <w:ind w:left="169"/>
              <w:rPr>
                <w:rFonts w:hint="eastAsia" w:ascii="黑体" w:hAnsi="黑体" w:eastAsia="黑体" w:cs="黑体"/>
                <w:sz w:val="21"/>
              </w:rPr>
            </w:pPr>
            <w:r>
              <w:rPr>
                <w:rFonts w:hint="eastAsia" w:ascii="黑体" w:hAnsi="黑体" w:eastAsia="黑体" w:cs="黑体"/>
                <w:spacing w:val="-8"/>
                <w:sz w:val="21"/>
              </w:rPr>
              <w:t>工况</w:t>
            </w:r>
          </w:p>
        </w:tc>
        <w:tc>
          <w:tcPr>
            <w:tcW w:w="7762" w:type="dxa"/>
            <w:gridSpan w:val="2"/>
          </w:tcPr>
          <w:p w14:paraId="683E319E">
            <w:pPr>
              <w:pStyle w:val="67"/>
              <w:spacing w:before="116"/>
              <w:ind w:left="35"/>
              <w:jc w:val="center"/>
              <w:rPr>
                <w:rFonts w:hint="eastAsia" w:ascii="黑体" w:hAnsi="黑体" w:eastAsia="黑体" w:cs="黑体"/>
                <w:sz w:val="21"/>
              </w:rPr>
            </w:pPr>
            <w:r>
              <w:rPr>
                <w:rFonts w:hint="eastAsia" w:ascii="黑体" w:hAnsi="黑体" w:eastAsia="黑体" w:cs="黑体"/>
                <w:spacing w:val="-7"/>
                <w:sz w:val="21"/>
              </w:rPr>
              <w:t>作用组合</w:t>
            </w:r>
          </w:p>
        </w:tc>
      </w:tr>
      <w:tr w14:paraId="79BC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760" w:type="dxa"/>
            <w:vMerge w:val="continue"/>
          </w:tcPr>
          <w:p w14:paraId="38C4D309">
            <w:pPr>
              <w:rPr>
                <w:rFonts w:hint="eastAsia" w:ascii="黑体" w:hAnsi="黑体" w:eastAsia="黑体" w:cs="黑体"/>
                <w:sz w:val="2"/>
                <w:szCs w:val="2"/>
              </w:rPr>
            </w:pPr>
          </w:p>
        </w:tc>
        <w:tc>
          <w:tcPr>
            <w:tcW w:w="6165" w:type="dxa"/>
          </w:tcPr>
          <w:p w14:paraId="71E0D0F7">
            <w:pPr>
              <w:pStyle w:val="67"/>
              <w:spacing w:before="115"/>
              <w:ind w:left="27"/>
              <w:jc w:val="center"/>
              <w:rPr>
                <w:rFonts w:hint="eastAsia" w:ascii="黑体" w:hAnsi="黑体" w:eastAsia="黑体" w:cs="黑体"/>
                <w:sz w:val="21"/>
              </w:rPr>
            </w:pPr>
            <w:r>
              <w:rPr>
                <w:rFonts w:hint="eastAsia" w:ascii="黑体" w:hAnsi="黑体" w:eastAsia="黑体" w:cs="黑体"/>
                <w:spacing w:val="-3"/>
                <w:sz w:val="21"/>
              </w:rPr>
              <w:t>强度计算、稳定性计算</w:t>
            </w:r>
          </w:p>
        </w:tc>
        <w:tc>
          <w:tcPr>
            <w:tcW w:w="1597" w:type="dxa"/>
          </w:tcPr>
          <w:p w14:paraId="58BD859F">
            <w:pPr>
              <w:pStyle w:val="67"/>
              <w:spacing w:before="115"/>
              <w:ind w:left="32"/>
              <w:jc w:val="center"/>
              <w:rPr>
                <w:rFonts w:hint="eastAsia" w:ascii="黑体" w:hAnsi="黑体" w:eastAsia="黑体" w:cs="黑体"/>
                <w:sz w:val="21"/>
              </w:rPr>
            </w:pPr>
            <w:r>
              <w:rPr>
                <w:rFonts w:hint="eastAsia" w:ascii="黑体" w:hAnsi="黑体" w:eastAsia="黑体" w:cs="黑体"/>
                <w:spacing w:val="-7"/>
                <w:sz w:val="21"/>
              </w:rPr>
              <w:t>刚度计算</w:t>
            </w:r>
          </w:p>
        </w:tc>
      </w:tr>
      <w:tr w14:paraId="4D36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2" w:hRule="atLeast"/>
        </w:trPr>
        <w:tc>
          <w:tcPr>
            <w:tcW w:w="760" w:type="dxa"/>
          </w:tcPr>
          <w:p w14:paraId="3CAD2569">
            <w:pPr>
              <w:pStyle w:val="67"/>
              <w:spacing w:before="254"/>
              <w:jc w:val="center"/>
              <w:rPr>
                <w:rFonts w:hint="eastAsia" w:ascii="黑体" w:hAnsi="黑体" w:eastAsia="黑体" w:cs="黑体"/>
                <w:b/>
                <w:sz w:val="21"/>
              </w:rPr>
            </w:pPr>
          </w:p>
          <w:p w14:paraId="598100B0">
            <w:pPr>
              <w:pStyle w:val="67"/>
              <w:spacing w:before="1"/>
              <w:ind w:left="19"/>
              <w:jc w:val="center"/>
              <w:rPr>
                <w:rFonts w:hint="eastAsia" w:ascii="黑体" w:hAnsi="黑体" w:eastAsia="黑体" w:cs="黑体"/>
                <w:sz w:val="21"/>
              </w:rPr>
            </w:pPr>
            <w:r>
              <w:rPr>
                <w:rFonts w:hint="eastAsia" w:ascii="黑体" w:hAnsi="黑体" w:eastAsia="黑体" w:cs="黑体"/>
                <w:spacing w:val="-8"/>
                <w:sz w:val="21"/>
              </w:rPr>
              <w:t>作业</w:t>
            </w:r>
          </w:p>
        </w:tc>
        <w:tc>
          <w:tcPr>
            <w:tcW w:w="6165" w:type="dxa"/>
          </w:tcPr>
          <w:p w14:paraId="27392445">
            <w:pPr>
              <w:pStyle w:val="67"/>
              <w:spacing w:before="135"/>
              <w:ind w:left="27" w:right="12"/>
              <w:jc w:val="center"/>
              <w:rPr>
                <w:rFonts w:ascii="Times New Roman" w:hAnsi="Times New Roman"/>
                <w:color w:val="000000" w:themeColor="text1"/>
                <w:spacing w:val="-2"/>
                <w:sz w:val="21"/>
                <w:vertAlign w:val="subscript"/>
                <w14:textFill>
                  <w14:solidFill>
                    <w14:schemeClr w14:val="tx1"/>
                  </w14:solidFill>
                </w14:textFill>
              </w:rPr>
            </w:pPr>
            <w:r>
              <w:rPr>
                <w:rFonts w:ascii="Times New Roman" w:hAnsi="Times New Roman"/>
                <w:color w:val="000000" w:themeColor="text1"/>
                <w:sz w:val="21"/>
                <w14:textFill>
                  <w14:solidFill>
                    <w14:schemeClr w14:val="tx1"/>
                  </w14:solidFill>
                </w14:textFill>
              </w:rPr>
              <w:t>1.35</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+0.7×1.5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Fk</w:t>
            </w:r>
            <w:r>
              <w:rPr>
                <w:rFonts w:ascii="Times New Roman" w:hAnsi="Times New Roman"/>
                <w:color w:val="000000" w:themeColor="text1"/>
                <w:spacing w:val="57"/>
                <w:w w:val="150"/>
                <w:sz w:val="21"/>
                <w14:textFill>
                  <w14:solidFill>
                    <w14:schemeClr w14:val="tx1"/>
                  </w14:solidFill>
                </w14:textFill>
              </w:rPr>
              <w:t>)</w:t>
            </w:r>
            <w:r>
              <w:rPr>
                <w:rFonts w:ascii="Times New Roman" w:hAnsi="Times New Roman"/>
                <w:color w:val="000000" w:themeColor="text1"/>
                <w:spacing w:val="-2"/>
                <w:sz w:val="21"/>
                <w14:textFill>
                  <w14:solidFill>
                    <w14:schemeClr w14:val="tx1"/>
                  </w14:solidFill>
                </w14:textFill>
              </w:rPr>
              <w:t>+0.6×1.5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Wk</w:t>
            </w:r>
          </w:p>
          <w:p w14:paraId="56312EE0">
            <w:pPr>
              <w:pStyle w:val="67"/>
              <w:spacing w:before="159"/>
              <w:ind w:left="27" w:right="10"/>
              <w:jc w:val="center"/>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1</w:t>
            </w:r>
            <w:r>
              <w:rPr>
                <w:rFonts w:ascii="Times New Roman" w:hAnsi="Times New Roman"/>
                <w:color w:val="000000" w:themeColor="text1"/>
                <w:sz w:val="21"/>
                <w14:textFill>
                  <w14:solidFill>
                    <w14:schemeClr w14:val="tx1"/>
                  </w14:solidFill>
                </w14:textFill>
              </w:rPr>
              <w:t>.3</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Fk</w:t>
            </w:r>
            <w:r>
              <w:rPr>
                <w:rFonts w:ascii="Times New Roman" w:hAnsi="Times New Roman"/>
                <w:color w:val="000000" w:themeColor="text1"/>
                <w:spacing w:val="57"/>
                <w:w w:val="150"/>
                <w:sz w:val="21"/>
                <w14:textFill>
                  <w14:solidFill>
                    <w14:schemeClr w14:val="tx1"/>
                  </w14:solidFill>
                </w14:textFill>
              </w:rPr>
              <w:t>)</w:t>
            </w:r>
            <w:r>
              <w:rPr>
                <w:rFonts w:ascii="Times New Roman" w:hAnsi="Times New Roman"/>
                <w:color w:val="000000" w:themeColor="text1"/>
                <w:spacing w:val="-2"/>
                <w:sz w:val="21"/>
                <w14:textFill>
                  <w14:solidFill>
                    <w14:schemeClr w14:val="tx1"/>
                  </w14:solidFill>
                </w14:textFill>
              </w:rPr>
              <w:t>+0.6×1.5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Wk</w:t>
            </w:r>
          </w:p>
          <w:p w14:paraId="776A8DB6">
            <w:pPr>
              <w:pStyle w:val="67"/>
              <w:spacing w:before="177"/>
              <w:ind w:left="27" w:right="10"/>
              <w:jc w:val="center"/>
              <w:rPr>
                <w:rFonts w:ascii="Times New Roman" w:hAnsi="Times New Roman"/>
                <w:color w:val="000000" w:themeColor="text1"/>
                <w:spacing w:val="-2"/>
                <w:sz w:val="21"/>
                <w:vertAlign w:val="subscript"/>
                <w14:textFill>
                  <w14:solidFill>
                    <w14:schemeClr w14:val="tx1"/>
                  </w14:solidFill>
                </w14:textFill>
              </w:rPr>
            </w:pPr>
            <w:r>
              <w:rPr>
                <w:rFonts w:ascii="Times New Roman" w:hAnsi="Times New Roman"/>
                <w:color w:val="000000" w:themeColor="text1"/>
                <w:sz w:val="21"/>
                <w14:textFill>
                  <w14:solidFill>
                    <w14:schemeClr w14:val="tx1"/>
                  </w14:solidFill>
                </w14:textFill>
              </w:rPr>
              <w:t>1.3</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+0.7×1.5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Fk</w:t>
            </w:r>
            <w:r>
              <w:rPr>
                <w:rFonts w:hint="eastAsia" w:ascii="Times New Roman" w:hAnsi="Times New Roman"/>
                <w:color w:val="000000" w:themeColor="text1"/>
                <w:spacing w:val="57"/>
                <w:w w:val="150"/>
                <w:sz w:val="21"/>
                <w14:textFill>
                  <w14:solidFill>
                    <w14:schemeClr w14:val="tx1"/>
                  </w14:solidFill>
                </w14:textFill>
              </w:rPr>
              <w:t>)</w:t>
            </w:r>
            <w:r>
              <w:rPr>
                <w:rFonts w:ascii="Times New Roman" w:hAnsi="Times New Roman"/>
                <w:color w:val="000000" w:themeColor="text1"/>
                <w:spacing w:val="-2"/>
                <w:sz w:val="21"/>
                <w14:textFill>
                  <w14:solidFill>
                    <w14:schemeClr w14:val="tx1"/>
                  </w14:solidFill>
                </w14:textFill>
              </w:rPr>
              <w:t>+1.5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Wk</w:t>
            </w:r>
          </w:p>
          <w:p w14:paraId="5FD0ED7D">
            <w:pPr>
              <w:pStyle w:val="67"/>
              <w:spacing w:before="177"/>
              <w:ind w:left="27" w:right="10"/>
              <w:jc w:val="center"/>
              <w:rPr>
                <w:rFonts w:ascii="Times New Roman" w:hAnsi="Times New Roman"/>
                <w:color w:val="000000" w:themeColor="text1"/>
                <w:sz w:val="21"/>
                <w14:textFill>
                  <w14:solidFill>
                    <w14:schemeClr w14:val="tx1"/>
                  </w14:solidFill>
                </w14:textFill>
              </w:rPr>
            </w:pPr>
            <w:r>
              <w:rPr>
                <w:rFonts w:ascii="Times New Roman" w:hAnsi="Times New Roman"/>
                <w:color w:val="auto"/>
                <w:sz w:val="21"/>
              </w:rPr>
              <w:t>1.</w:t>
            </w:r>
            <w:r>
              <w:rPr>
                <w:rFonts w:hint="eastAsia" w:ascii="Times New Roman" w:hAnsi="Times New Roman"/>
                <w:color w:val="auto"/>
                <w:sz w:val="21"/>
              </w:rPr>
              <w:t>3</w:t>
            </w:r>
            <w:r>
              <w:rPr>
                <w:rFonts w:hint="eastAsia" w:ascii="Times New Roman" w:hAnsi="Times New Roman"/>
                <w:color w:val="auto"/>
                <w:spacing w:val="57"/>
                <w:w w:val="150"/>
                <w:sz w:val="21"/>
              </w:rPr>
              <w:t>(</w:t>
            </w:r>
            <w:r>
              <w:rPr>
                <w:rFonts w:ascii="Cambria Math" w:hAnsi="Cambria Math"/>
                <w:color w:val="auto"/>
                <w:sz w:val="21"/>
              </w:rPr>
              <w:t>S</w:t>
            </w:r>
            <w:r>
              <w:rPr>
                <w:rFonts w:ascii="Times New Roman" w:hAnsi="Times New Roman"/>
                <w:color w:val="auto"/>
                <w:sz w:val="21"/>
                <w:vertAlign w:val="subscript"/>
              </w:rPr>
              <w:t>Gk</w:t>
            </w:r>
            <w:r>
              <w:rPr>
                <w:rFonts w:ascii="Times New Roman" w:hAnsi="Times New Roman"/>
                <w:color w:val="auto"/>
                <w:sz w:val="21"/>
              </w:rPr>
              <w:t xml:space="preserve"> +</w:t>
            </w:r>
            <w:r>
              <w:rPr>
                <w:rFonts w:hint="eastAsia" w:ascii="Times New Roman" w:hAnsi="Times New Roman"/>
                <w:color w:val="auto"/>
                <w:sz w:val="21"/>
              </w:rPr>
              <w:t>0.5</w:t>
            </w:r>
            <w:r>
              <w:rPr>
                <w:rFonts w:hint="eastAsia" w:ascii="Cambria Math" w:hAnsi="Cambria Math"/>
                <w:color w:val="auto"/>
                <w:sz w:val="21"/>
              </w:rPr>
              <w:t>S</w:t>
            </w:r>
            <w:r>
              <w:rPr>
                <w:rFonts w:hint="eastAsia" w:ascii="Cambria Math" w:hAnsi="Cambria Math"/>
                <w:color w:val="auto"/>
                <w:sz w:val="21"/>
                <w:vertAlign w:val="subscript"/>
              </w:rPr>
              <w:t>QK</w:t>
            </w:r>
            <w:r>
              <w:rPr>
                <w:rFonts w:hint="eastAsia" w:ascii="Times New Roman" w:hAnsi="Times New Roman"/>
                <w:color w:val="auto"/>
                <w:spacing w:val="57"/>
                <w:w w:val="150"/>
                <w:sz w:val="21"/>
              </w:rPr>
              <w:t>)</w:t>
            </w:r>
            <w:r>
              <w:rPr>
                <w:rFonts w:hint="eastAsia" w:ascii="Times New Roman" w:hAnsi="Times New Roman"/>
                <w:color w:val="auto"/>
                <w:spacing w:val="-2"/>
                <w:sz w:val="21"/>
              </w:rPr>
              <w:t>+1</w:t>
            </w:r>
            <w:r>
              <w:rPr>
                <w:rFonts w:ascii="Times New Roman" w:hAnsi="Times New Roman"/>
                <w:color w:val="auto"/>
                <w:spacing w:val="-2"/>
                <w:sz w:val="21"/>
              </w:rPr>
              <w:t>.</w:t>
            </w:r>
            <w:r>
              <w:rPr>
                <w:rFonts w:hint="eastAsia" w:ascii="Times New Roman" w:hAnsi="Times New Roman"/>
                <w:color w:val="auto"/>
                <w:spacing w:val="-2"/>
                <w:sz w:val="21"/>
              </w:rPr>
              <w:t>4S</w:t>
            </w:r>
            <w:r>
              <w:rPr>
                <w:rFonts w:hint="eastAsia" w:ascii="Cambria Math" w:hAnsi="Cambria Math"/>
                <w:color w:val="auto"/>
                <w:spacing w:val="-2"/>
                <w:sz w:val="21"/>
                <w:vertAlign w:val="subscript"/>
              </w:rPr>
              <w:t xml:space="preserve">Ehk </w:t>
            </w:r>
            <w:r>
              <w:rPr>
                <w:rFonts w:hint="eastAsia" w:ascii="Times New Roman" w:hAnsi="Times New Roman"/>
                <w:color w:val="auto"/>
                <w:sz w:val="21"/>
              </w:rPr>
              <w:t>+ 0.5</w:t>
            </w:r>
            <w:r>
              <w:rPr>
                <w:rFonts w:hint="eastAsia" w:ascii="Times New Roman" w:hAnsi="Times New Roman"/>
                <w:color w:val="auto"/>
                <w:spacing w:val="-2"/>
                <w:sz w:val="21"/>
              </w:rPr>
              <w:t>S</w:t>
            </w:r>
            <w:r>
              <w:rPr>
                <w:rFonts w:hint="eastAsia" w:ascii="Cambria Math" w:hAnsi="Cambria Math"/>
                <w:color w:val="auto"/>
                <w:spacing w:val="-2"/>
                <w:sz w:val="21"/>
                <w:vertAlign w:val="subscript"/>
              </w:rPr>
              <w:t xml:space="preserve">Evk </w:t>
            </w:r>
            <w:r>
              <w:rPr>
                <w:rFonts w:hint="eastAsia" w:ascii="Times New Roman" w:hAnsi="Times New Roman"/>
                <w:color w:val="auto"/>
                <w:sz w:val="21"/>
              </w:rPr>
              <w:t>+ 0.2</w:t>
            </w:r>
            <w:r>
              <w:rPr>
                <w:rFonts w:ascii="Times New Roman" w:hAnsi="Times New Roman"/>
                <w:color w:val="auto"/>
                <w:spacing w:val="-2"/>
                <w:sz w:val="21"/>
              </w:rPr>
              <w:t>×</w:t>
            </w:r>
            <w:r>
              <w:rPr>
                <w:rFonts w:hint="eastAsia" w:ascii="Times New Roman" w:hAnsi="Times New Roman"/>
                <w:color w:val="auto"/>
                <w:sz w:val="21"/>
              </w:rPr>
              <w:t>1.5</w:t>
            </w:r>
            <w:r>
              <w:rPr>
                <w:rFonts w:ascii="Cambria Math" w:hAnsi="Cambria Math"/>
                <w:color w:val="auto"/>
                <w:spacing w:val="-2"/>
                <w:sz w:val="21"/>
              </w:rPr>
              <w:t>S</w:t>
            </w:r>
            <w:r>
              <w:rPr>
                <w:rFonts w:ascii="Times New Roman" w:hAnsi="Times New Roman"/>
                <w:color w:val="auto"/>
                <w:spacing w:val="-2"/>
                <w:sz w:val="21"/>
                <w:vertAlign w:val="subscript"/>
              </w:rPr>
              <w:t>Wk</w:t>
            </w:r>
          </w:p>
        </w:tc>
        <w:tc>
          <w:tcPr>
            <w:tcW w:w="1597" w:type="dxa"/>
          </w:tcPr>
          <w:p w14:paraId="6D33BB6F">
            <w:pPr>
              <w:pStyle w:val="67"/>
              <w:jc w:val="center"/>
              <w:rPr>
                <w:rFonts w:hint="eastAsia"/>
                <w:b/>
                <w:color w:val="00B0F0"/>
                <w:sz w:val="15"/>
              </w:rPr>
            </w:pPr>
          </w:p>
          <w:p w14:paraId="74AA8828">
            <w:pPr>
              <w:pStyle w:val="67"/>
              <w:ind w:left="32" w:right="8"/>
              <w:jc w:val="center"/>
              <w:rPr>
                <w:rFonts w:hint="eastAsia" w:ascii="Times New Roman"/>
                <w:color w:val="00B0F0"/>
                <w:spacing w:val="-5"/>
                <w:sz w:val="15"/>
              </w:rPr>
            </w:pPr>
            <w:r>
              <w:rPr>
                <w:rFonts w:ascii="Cambria Math"/>
                <w:position w:val="4"/>
                <w:sz w:val="21"/>
              </w:rPr>
              <w:t>S</w:t>
            </w:r>
            <w:r>
              <w:rPr>
                <w:rFonts w:ascii="Times New Roman"/>
                <w:sz w:val="15"/>
              </w:rPr>
              <w:t>Gk</w:t>
            </w:r>
            <w:r>
              <w:rPr>
                <w:rFonts w:ascii="Times New Roman"/>
                <w:spacing w:val="20"/>
                <w:sz w:val="15"/>
              </w:rPr>
              <w:t xml:space="preserve"> </w:t>
            </w:r>
            <w:r>
              <w:rPr>
                <w:rFonts w:ascii="Cambria Math"/>
                <w:position w:val="4"/>
                <w:sz w:val="21"/>
              </w:rPr>
              <w:t>+</w:t>
            </w:r>
            <w:r>
              <w:rPr>
                <w:rFonts w:ascii="Cambria Math"/>
                <w:spacing w:val="-1"/>
                <w:position w:val="4"/>
                <w:sz w:val="21"/>
              </w:rPr>
              <w:t xml:space="preserve"> </w:t>
            </w:r>
            <w:r>
              <w:rPr>
                <w:rFonts w:ascii="Cambria Math"/>
                <w:spacing w:val="-5"/>
                <w:position w:val="4"/>
                <w:sz w:val="21"/>
              </w:rPr>
              <w:t>S</w:t>
            </w:r>
            <w:r>
              <w:rPr>
                <w:rFonts w:ascii="Times New Roman"/>
                <w:spacing w:val="-5"/>
                <w:sz w:val="15"/>
              </w:rPr>
              <w:t>Qk</w:t>
            </w:r>
          </w:p>
        </w:tc>
      </w:tr>
      <w:tr w14:paraId="5A53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9" w:hRule="atLeast"/>
        </w:trPr>
        <w:tc>
          <w:tcPr>
            <w:tcW w:w="760" w:type="dxa"/>
          </w:tcPr>
          <w:p w14:paraId="3B8E865B">
            <w:pPr>
              <w:pStyle w:val="67"/>
              <w:spacing w:before="254"/>
              <w:jc w:val="center"/>
              <w:rPr>
                <w:rFonts w:hint="eastAsia" w:ascii="黑体" w:hAnsi="黑体" w:eastAsia="黑体" w:cs="黑体"/>
                <w:b/>
                <w:sz w:val="21"/>
              </w:rPr>
            </w:pPr>
          </w:p>
          <w:p w14:paraId="65C5158B">
            <w:pPr>
              <w:pStyle w:val="67"/>
              <w:ind w:left="19"/>
              <w:jc w:val="center"/>
              <w:rPr>
                <w:rFonts w:hint="eastAsia" w:ascii="黑体" w:hAnsi="黑体" w:eastAsia="黑体" w:cs="黑体"/>
                <w:sz w:val="21"/>
              </w:rPr>
            </w:pPr>
            <w:r>
              <w:rPr>
                <w:rFonts w:hint="eastAsia" w:ascii="黑体" w:hAnsi="黑体" w:eastAsia="黑体" w:cs="黑体"/>
                <w:spacing w:val="-8"/>
                <w:sz w:val="21"/>
              </w:rPr>
              <w:t>顶升</w:t>
            </w:r>
          </w:p>
        </w:tc>
        <w:tc>
          <w:tcPr>
            <w:tcW w:w="6165" w:type="dxa"/>
          </w:tcPr>
          <w:p w14:paraId="39E3CF1C">
            <w:pPr>
              <w:pStyle w:val="67"/>
              <w:spacing w:before="133"/>
              <w:ind w:left="27" w:right="10"/>
              <w:jc w:val="center"/>
              <w:rPr>
                <w:rFonts w:ascii="Times New Roman" w:hAnsi="Times New Roman"/>
                <w:color w:val="000000" w:themeColor="text1"/>
                <w:spacing w:val="-2"/>
                <w:sz w:val="21"/>
                <w:vertAlign w:val="subscript"/>
                <w14:textFill>
                  <w14:solidFill>
                    <w14:schemeClr w14:val="tx1"/>
                  </w14:solidFill>
                </w14:textFill>
              </w:rPr>
            </w:pPr>
            <w:r>
              <w:rPr>
                <w:rFonts w:ascii="Times New Roman" w:hAnsi="Times New Roman"/>
                <w:color w:val="000000" w:themeColor="text1"/>
                <w:sz w:val="21"/>
                <w14:textFill>
                  <w14:solidFill>
                    <w14:schemeClr w14:val="tx1"/>
                  </w14:solidFill>
                </w14:textFill>
              </w:rPr>
              <w:t>1.15×1.35</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+1.15×0.7×1.5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Fk</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w:t>
            </w:r>
            <w:r>
              <w:rPr>
                <w:rFonts w:ascii="Cambria Math" w:hAnsi="Cambria Math"/>
                <w:color w:val="000000" w:themeColor="text1"/>
                <w:spacing w:val="18"/>
                <w:sz w:val="21"/>
                <w14:textFill>
                  <w14:solidFill>
                    <w14:schemeClr w14:val="tx1"/>
                  </w14:solidFill>
                </w14:textFill>
              </w:rPr>
              <w:t xml:space="preserve"> </w:t>
            </w:r>
            <w:r>
              <w:rPr>
                <w:rFonts w:ascii="Times New Roman" w:hAnsi="Times New Roman"/>
                <w:color w:val="000000" w:themeColor="text1"/>
                <w:spacing w:val="-2"/>
                <w:sz w:val="21"/>
                <w14:textFill>
                  <w14:solidFill>
                    <w14:schemeClr w14:val="tx1"/>
                  </w14:solidFill>
                </w14:textFill>
              </w:rPr>
              <w:t>0.6×1.5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Wk</w:t>
            </w:r>
          </w:p>
          <w:p w14:paraId="738D47ED">
            <w:pPr>
              <w:pStyle w:val="67"/>
              <w:spacing w:before="162"/>
              <w:ind w:left="27" w:right="7"/>
              <w:jc w:val="center"/>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1.15×1.3</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+1.15×1.5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w:t>
            </w:r>
            <w:r>
              <w:rPr>
                <w:rFonts w:ascii="Cambria Math" w:hAnsi="Cambria Math"/>
                <w:color w:val="000000" w:themeColor="text1"/>
                <w:spacing w:val="16"/>
                <w:sz w:val="21"/>
                <w14:textFill>
                  <w14:solidFill>
                    <w14:schemeClr w14:val="tx1"/>
                  </w14:solidFill>
                </w14:textFill>
              </w:rPr>
              <w:t xml:space="preserve"> </w:t>
            </w:r>
            <w:r>
              <w:rPr>
                <w:rFonts w:ascii="Times New Roman" w:hAnsi="Times New Roman"/>
                <w:color w:val="000000" w:themeColor="text1"/>
                <w:spacing w:val="-2"/>
                <w:sz w:val="21"/>
                <w14:textFill>
                  <w14:solidFill>
                    <w14:schemeClr w14:val="tx1"/>
                  </w14:solidFill>
                </w14:textFill>
              </w:rPr>
              <w:t>0.6×1.5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Wk</w:t>
            </w:r>
          </w:p>
          <w:p w14:paraId="5427784E">
            <w:pPr>
              <w:pStyle w:val="67"/>
              <w:tabs>
                <w:tab w:val="left" w:pos="4770"/>
              </w:tabs>
              <w:spacing w:before="160"/>
              <w:ind w:left="27" w:right="7"/>
              <w:jc w:val="center"/>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1.15×1.3</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+1.15×0.7×1.5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Fk</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w:t>
            </w:r>
            <w:r>
              <w:rPr>
                <w:rFonts w:ascii="Cambria Math" w:hAnsi="Cambria Math"/>
                <w:color w:val="000000" w:themeColor="text1"/>
                <w:spacing w:val="14"/>
                <w:sz w:val="21"/>
                <w14:textFill>
                  <w14:solidFill>
                    <w14:schemeClr w14:val="tx1"/>
                  </w14:solidFill>
                </w14:textFill>
              </w:rPr>
              <w:t xml:space="preserve"> </w:t>
            </w:r>
            <w:r>
              <w:rPr>
                <w:rFonts w:ascii="Times New Roman" w:hAnsi="Times New Roman"/>
                <w:color w:val="000000" w:themeColor="text1"/>
                <w:spacing w:val="-2"/>
                <w:sz w:val="21"/>
                <w14:textFill>
                  <w14:solidFill>
                    <w14:schemeClr w14:val="tx1"/>
                  </w14:solidFill>
                </w14:textFill>
              </w:rPr>
              <w:t>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Wk</w:t>
            </w:r>
          </w:p>
        </w:tc>
        <w:tc>
          <w:tcPr>
            <w:tcW w:w="1597" w:type="dxa"/>
          </w:tcPr>
          <w:p w14:paraId="093F1A50">
            <w:pPr>
              <w:pStyle w:val="67"/>
              <w:spacing w:before="140"/>
              <w:jc w:val="center"/>
              <w:rPr>
                <w:rFonts w:hint="eastAsia"/>
                <w:b/>
                <w:sz w:val="15"/>
              </w:rPr>
            </w:pPr>
          </w:p>
          <w:p w14:paraId="54E11799">
            <w:pPr>
              <w:pStyle w:val="67"/>
              <w:ind w:left="32" w:right="8"/>
              <w:jc w:val="center"/>
              <w:rPr>
                <w:rFonts w:hint="eastAsia" w:ascii="Times New Roman"/>
                <w:sz w:val="15"/>
              </w:rPr>
            </w:pPr>
            <w:r>
              <w:rPr>
                <w:rFonts w:ascii="Cambria Math"/>
                <w:position w:val="4"/>
                <w:sz w:val="21"/>
              </w:rPr>
              <w:t>S</w:t>
            </w:r>
            <w:r>
              <w:rPr>
                <w:rFonts w:ascii="Times New Roman"/>
                <w:sz w:val="15"/>
              </w:rPr>
              <w:t>Gk</w:t>
            </w:r>
            <w:r>
              <w:rPr>
                <w:rFonts w:ascii="Times New Roman"/>
                <w:spacing w:val="20"/>
                <w:sz w:val="15"/>
              </w:rPr>
              <w:t xml:space="preserve"> </w:t>
            </w:r>
            <w:r>
              <w:rPr>
                <w:rFonts w:ascii="Cambria Math"/>
                <w:position w:val="4"/>
                <w:sz w:val="21"/>
              </w:rPr>
              <w:t>+</w:t>
            </w:r>
            <w:r>
              <w:rPr>
                <w:rFonts w:ascii="Cambria Math"/>
                <w:spacing w:val="-1"/>
                <w:position w:val="4"/>
                <w:sz w:val="21"/>
              </w:rPr>
              <w:t xml:space="preserve"> </w:t>
            </w:r>
            <w:r>
              <w:rPr>
                <w:rFonts w:ascii="Cambria Math"/>
                <w:spacing w:val="-5"/>
                <w:position w:val="4"/>
                <w:sz w:val="21"/>
              </w:rPr>
              <w:t>S</w:t>
            </w:r>
            <w:r>
              <w:rPr>
                <w:rFonts w:ascii="Times New Roman"/>
                <w:spacing w:val="-5"/>
                <w:sz w:val="15"/>
              </w:rPr>
              <w:t>Qk</w:t>
            </w:r>
          </w:p>
        </w:tc>
      </w:tr>
      <w:tr w14:paraId="62A2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9" w:hRule="atLeast"/>
        </w:trPr>
        <w:tc>
          <w:tcPr>
            <w:tcW w:w="760" w:type="dxa"/>
          </w:tcPr>
          <w:p w14:paraId="4F57BD46">
            <w:pPr>
              <w:pStyle w:val="67"/>
              <w:spacing w:before="254"/>
              <w:jc w:val="center"/>
              <w:rPr>
                <w:rFonts w:hint="eastAsia" w:ascii="黑体" w:hAnsi="黑体" w:eastAsia="黑体" w:cs="黑体"/>
                <w:b/>
                <w:sz w:val="21"/>
              </w:rPr>
            </w:pPr>
            <w:r>
              <w:rPr>
                <w:rFonts w:hint="eastAsia" w:ascii="黑体" w:hAnsi="黑体" w:eastAsia="黑体" w:cs="黑体"/>
                <w:spacing w:val="-8"/>
                <w:sz w:val="21"/>
              </w:rPr>
              <w:t>提升</w:t>
            </w:r>
          </w:p>
        </w:tc>
        <w:tc>
          <w:tcPr>
            <w:tcW w:w="6165" w:type="dxa"/>
          </w:tcPr>
          <w:p w14:paraId="209506F6">
            <w:pPr>
              <w:pStyle w:val="67"/>
              <w:spacing w:before="133"/>
              <w:ind w:left="27" w:right="10"/>
              <w:jc w:val="center"/>
              <w:rPr>
                <w:rFonts w:ascii="Times New Roman" w:hAnsi="Times New Roman"/>
                <w:color w:val="000000" w:themeColor="text1"/>
                <w:spacing w:val="-2"/>
                <w:sz w:val="21"/>
                <w:vertAlign w:val="subscript"/>
                <w14:textFill>
                  <w14:solidFill>
                    <w14:schemeClr w14:val="tx1"/>
                  </w14:solidFill>
                </w14:textFill>
              </w:rPr>
            </w:pPr>
            <w:r>
              <w:rPr>
                <w:rFonts w:ascii="Times New Roman" w:hAnsi="Times New Roman"/>
                <w:color w:val="000000" w:themeColor="text1"/>
                <w:sz w:val="21"/>
                <w14:textFill>
                  <w14:solidFill>
                    <w14:schemeClr w14:val="tx1"/>
                  </w14:solidFill>
                </w14:textFill>
              </w:rPr>
              <w:t>1.35</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+0.7×1.5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Fk</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w:t>
            </w:r>
            <w:r>
              <w:rPr>
                <w:rFonts w:ascii="Cambria Math" w:hAnsi="Cambria Math"/>
                <w:color w:val="000000" w:themeColor="text1"/>
                <w:spacing w:val="18"/>
                <w:sz w:val="21"/>
                <w14:textFill>
                  <w14:solidFill>
                    <w14:schemeClr w14:val="tx1"/>
                  </w14:solidFill>
                </w14:textFill>
              </w:rPr>
              <w:t xml:space="preserve"> </w:t>
            </w:r>
            <w:r>
              <w:rPr>
                <w:rFonts w:ascii="Times New Roman" w:hAnsi="Times New Roman"/>
                <w:color w:val="000000" w:themeColor="text1"/>
                <w:spacing w:val="-2"/>
                <w:sz w:val="21"/>
                <w14:textFill>
                  <w14:solidFill>
                    <w14:schemeClr w14:val="tx1"/>
                  </w14:solidFill>
                </w14:textFill>
              </w:rPr>
              <w:t>0.6×1.5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Wk</w:t>
            </w:r>
          </w:p>
          <w:p w14:paraId="1038CD9B">
            <w:pPr>
              <w:pStyle w:val="67"/>
              <w:spacing w:before="162"/>
              <w:ind w:left="27" w:right="7"/>
              <w:jc w:val="center"/>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1.3</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Fk</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w:t>
            </w:r>
            <w:r>
              <w:rPr>
                <w:rFonts w:ascii="Cambria Math" w:hAnsi="Cambria Math"/>
                <w:color w:val="000000" w:themeColor="text1"/>
                <w:spacing w:val="16"/>
                <w:sz w:val="21"/>
                <w14:textFill>
                  <w14:solidFill>
                    <w14:schemeClr w14:val="tx1"/>
                  </w14:solidFill>
                </w14:textFill>
              </w:rPr>
              <w:t xml:space="preserve"> </w:t>
            </w:r>
            <w:r>
              <w:rPr>
                <w:rFonts w:ascii="Times New Roman" w:hAnsi="Times New Roman"/>
                <w:color w:val="000000" w:themeColor="text1"/>
                <w:spacing w:val="-2"/>
                <w:sz w:val="21"/>
                <w14:textFill>
                  <w14:solidFill>
                    <w14:schemeClr w14:val="tx1"/>
                  </w14:solidFill>
                </w14:textFill>
              </w:rPr>
              <w:t>0.6×1.5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Wk</w:t>
            </w:r>
          </w:p>
          <w:p w14:paraId="7404FDDE">
            <w:pPr>
              <w:pStyle w:val="67"/>
              <w:spacing w:before="133"/>
              <w:ind w:left="27" w:right="10"/>
              <w:jc w:val="center"/>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1.3</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+0.7×1.5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Fk</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w:t>
            </w:r>
            <w:r>
              <w:rPr>
                <w:rFonts w:ascii="Cambria Math" w:hAnsi="Cambria Math"/>
                <w:color w:val="000000" w:themeColor="text1"/>
                <w:spacing w:val="14"/>
                <w:sz w:val="21"/>
                <w14:textFill>
                  <w14:solidFill>
                    <w14:schemeClr w14:val="tx1"/>
                  </w14:solidFill>
                </w14:textFill>
              </w:rPr>
              <w:t xml:space="preserve"> </w:t>
            </w:r>
            <w:r>
              <w:rPr>
                <w:rFonts w:ascii="Times New Roman" w:hAnsi="Times New Roman"/>
                <w:color w:val="000000" w:themeColor="text1"/>
                <w:spacing w:val="-2"/>
                <w:sz w:val="21"/>
                <w14:textFill>
                  <w14:solidFill>
                    <w14:schemeClr w14:val="tx1"/>
                  </w14:solidFill>
                </w14:textFill>
              </w:rPr>
              <w:t>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Wk</w:t>
            </w:r>
          </w:p>
        </w:tc>
        <w:tc>
          <w:tcPr>
            <w:tcW w:w="1597" w:type="dxa"/>
          </w:tcPr>
          <w:p w14:paraId="6E9F58ED">
            <w:pPr>
              <w:pStyle w:val="67"/>
              <w:spacing w:before="140"/>
              <w:jc w:val="center"/>
              <w:rPr>
                <w:rFonts w:hint="eastAsia"/>
                <w:b/>
                <w:sz w:val="15"/>
              </w:rPr>
            </w:pPr>
          </w:p>
          <w:p w14:paraId="7E8C2CE0">
            <w:pPr>
              <w:pStyle w:val="67"/>
              <w:spacing w:before="140"/>
              <w:jc w:val="center"/>
              <w:rPr>
                <w:rFonts w:hint="eastAsia"/>
                <w:b/>
                <w:sz w:val="15"/>
              </w:rPr>
            </w:pPr>
            <w:r>
              <w:rPr>
                <w:rFonts w:ascii="Cambria Math"/>
                <w:position w:val="4"/>
                <w:sz w:val="21"/>
              </w:rPr>
              <w:t>S</w:t>
            </w:r>
            <w:r>
              <w:rPr>
                <w:rFonts w:ascii="Times New Roman"/>
                <w:sz w:val="15"/>
              </w:rPr>
              <w:t>Gk</w:t>
            </w:r>
            <w:r>
              <w:rPr>
                <w:rFonts w:ascii="Times New Roman"/>
                <w:spacing w:val="20"/>
                <w:sz w:val="15"/>
              </w:rPr>
              <w:t xml:space="preserve"> </w:t>
            </w:r>
            <w:r>
              <w:rPr>
                <w:rFonts w:ascii="Cambria Math"/>
                <w:position w:val="4"/>
                <w:sz w:val="21"/>
              </w:rPr>
              <w:t>+</w:t>
            </w:r>
            <w:r>
              <w:rPr>
                <w:rFonts w:ascii="Cambria Math"/>
                <w:spacing w:val="-1"/>
                <w:position w:val="4"/>
                <w:sz w:val="21"/>
              </w:rPr>
              <w:t xml:space="preserve"> </w:t>
            </w:r>
            <w:r>
              <w:rPr>
                <w:rFonts w:ascii="Cambria Math"/>
                <w:spacing w:val="-5"/>
                <w:position w:val="4"/>
                <w:sz w:val="21"/>
              </w:rPr>
              <w:t>S</w:t>
            </w:r>
            <w:r>
              <w:rPr>
                <w:rFonts w:ascii="Times New Roman"/>
                <w:spacing w:val="-5"/>
                <w:sz w:val="15"/>
              </w:rPr>
              <w:t>Qk</w:t>
            </w:r>
          </w:p>
        </w:tc>
      </w:tr>
      <w:tr w14:paraId="0295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9" w:hRule="atLeast"/>
        </w:trPr>
        <w:tc>
          <w:tcPr>
            <w:tcW w:w="760" w:type="dxa"/>
          </w:tcPr>
          <w:p w14:paraId="150801BB">
            <w:pPr>
              <w:pStyle w:val="67"/>
              <w:spacing w:before="254"/>
              <w:ind w:firstLine="194" w:firstLineChars="100"/>
              <w:rPr>
                <w:rFonts w:hint="eastAsia" w:ascii="黑体" w:hAnsi="黑体" w:eastAsia="黑体" w:cs="黑体"/>
                <w:b/>
                <w:sz w:val="21"/>
              </w:rPr>
            </w:pPr>
            <w:r>
              <w:rPr>
                <w:rFonts w:hint="eastAsia" w:ascii="黑体" w:hAnsi="黑体" w:eastAsia="黑体" w:cs="黑体"/>
                <w:spacing w:val="-8"/>
                <w:sz w:val="21"/>
              </w:rPr>
              <w:t>停工</w:t>
            </w:r>
          </w:p>
        </w:tc>
        <w:tc>
          <w:tcPr>
            <w:tcW w:w="6165" w:type="dxa"/>
          </w:tcPr>
          <w:p w14:paraId="2E0E6264">
            <w:pPr>
              <w:pStyle w:val="67"/>
              <w:spacing w:before="135"/>
              <w:ind w:left="27" w:right="12"/>
              <w:jc w:val="center"/>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1.35</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+0.7×1.5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Fk</w:t>
            </w:r>
            <w:r>
              <w:rPr>
                <w:rFonts w:hint="eastAsia" w:ascii="Times New Roman" w:hAnsi="Times New Roman"/>
                <w:color w:val="000000" w:themeColor="text1"/>
                <w:spacing w:val="57"/>
                <w:w w:val="150"/>
                <w:sz w:val="21"/>
                <w14:textFill>
                  <w14:solidFill>
                    <w14:schemeClr w14:val="tx1"/>
                  </w14:solidFill>
                </w14:textFill>
              </w:rPr>
              <w:t>)</w:t>
            </w:r>
            <w:r>
              <w:rPr>
                <w:rFonts w:ascii="Times New Roman" w:hAnsi="Times New Roman"/>
                <w:color w:val="000000" w:themeColor="text1"/>
                <w:spacing w:val="-2"/>
                <w:sz w:val="21"/>
                <w14:textFill>
                  <w14:solidFill>
                    <w14:schemeClr w14:val="tx1"/>
                  </w14:solidFill>
                </w14:textFill>
              </w:rPr>
              <w:t>+0.6×1.5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Wk</w:t>
            </w:r>
          </w:p>
          <w:p w14:paraId="78E1545E">
            <w:pPr>
              <w:pStyle w:val="67"/>
              <w:spacing w:before="135"/>
              <w:ind w:left="27" w:right="12"/>
              <w:jc w:val="center"/>
              <w:rPr>
                <w:rFonts w:ascii="Times New Roman" w:hAnsi="Times New Roman"/>
                <w:color w:val="000000" w:themeColor="text1"/>
                <w:spacing w:val="-2"/>
                <w:sz w:val="21"/>
                <w:vertAlign w:val="subscript"/>
                <w14:textFill>
                  <w14:solidFill>
                    <w14:schemeClr w14:val="tx1"/>
                  </w14:solidFill>
                </w14:textFill>
              </w:rPr>
            </w:pPr>
            <w:r>
              <w:rPr>
                <w:rFonts w:ascii="Times New Roman" w:hAnsi="Times New Roman"/>
                <w:color w:val="000000" w:themeColor="text1"/>
                <w:sz w:val="21"/>
                <w14:textFill>
                  <w14:solidFill>
                    <w14:schemeClr w14:val="tx1"/>
                  </w14:solidFill>
                </w14:textFill>
              </w:rPr>
              <w:t>1.3</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Fk</w:t>
            </w:r>
            <w:r>
              <w:rPr>
                <w:rFonts w:hint="eastAsia" w:ascii="Times New Roman" w:hAnsi="Times New Roman"/>
                <w:color w:val="000000" w:themeColor="text1"/>
                <w:spacing w:val="57"/>
                <w:w w:val="150"/>
                <w:sz w:val="21"/>
                <w14:textFill>
                  <w14:solidFill>
                    <w14:schemeClr w14:val="tx1"/>
                  </w14:solidFill>
                </w14:textFill>
              </w:rPr>
              <w:t>)</w:t>
            </w:r>
            <w:r>
              <w:rPr>
                <w:rFonts w:ascii="Times New Roman" w:hAnsi="Times New Roman"/>
                <w:color w:val="000000" w:themeColor="text1"/>
                <w:spacing w:val="-2"/>
                <w:sz w:val="21"/>
                <w14:textFill>
                  <w14:solidFill>
                    <w14:schemeClr w14:val="tx1"/>
                  </w14:solidFill>
                </w14:textFill>
              </w:rPr>
              <w:t>+0.6×1.5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w:t>
            </w:r>
          </w:p>
          <w:p w14:paraId="2BFC931B">
            <w:pPr>
              <w:pStyle w:val="67"/>
              <w:spacing w:before="133"/>
              <w:ind w:left="27" w:right="10"/>
              <w:jc w:val="center"/>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1.3</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Gk</w:t>
            </w:r>
            <w:r>
              <w:rPr>
                <w:rFonts w:ascii="Times New Roman" w:hAnsi="Times New Roman"/>
                <w:color w:val="000000" w:themeColor="text1"/>
                <w:sz w:val="21"/>
                <w14:textFill>
                  <w14:solidFill>
                    <w14:schemeClr w14:val="tx1"/>
                  </w14:solidFill>
                </w14:textFill>
              </w:rPr>
              <w:t>+0.7×1.5</w:t>
            </w:r>
            <w:r>
              <w:rPr>
                <w:rFonts w:hint="eastAsia" w:ascii="Times New Roman" w:hAnsi="Times New Roman"/>
                <w:color w:val="000000" w:themeColor="text1"/>
                <w:spacing w:val="57"/>
                <w:w w:val="150"/>
                <w:sz w:val="21"/>
                <w14:textFill>
                  <w14:solidFill>
                    <w14:schemeClr w14:val="tx1"/>
                  </w14:solidFill>
                </w14:textFill>
              </w:rPr>
              <w:t>(</w:t>
            </w:r>
            <w:r>
              <w:rPr>
                <w:rFonts w:ascii="Cambria Math" w:hAnsi="Cambria Math"/>
                <w:color w:val="000000" w:themeColor="text1"/>
                <w:sz w:val="21"/>
                <w14:textFill>
                  <w14:solidFill>
                    <w14:schemeClr w14:val="tx1"/>
                  </w14:solidFill>
                </w14:textFill>
              </w:rPr>
              <w:t>M</w:t>
            </w:r>
            <w:r>
              <w:rPr>
                <w:rFonts w:ascii="Cambria Math" w:hAnsi="Cambria Math"/>
                <w:color w:val="000000" w:themeColor="text1"/>
                <w:sz w:val="21"/>
                <w:vertAlign w:val="subscript"/>
                <w14:textFill>
                  <w14:solidFill>
                    <w14:schemeClr w14:val="tx1"/>
                  </w14:solidFill>
                </w14:textFill>
              </w:rPr>
              <w:t>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Lk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Ck</w:t>
            </w:r>
            <w:r>
              <w:rPr>
                <w:rFonts w:ascii="Times New Roman" w:hAnsi="Times New Roman"/>
                <w:color w:val="000000" w:themeColor="text1"/>
                <w:sz w:val="21"/>
                <w14:textFill>
                  <w14:solidFill>
                    <w14:schemeClr w14:val="tx1"/>
                  </w14:solidFill>
                </w14:textFill>
              </w:rPr>
              <w:t>+</w:t>
            </w:r>
            <w:r>
              <w:rPr>
                <w:rFonts w:ascii="Cambria Math" w:hAnsi="Cambria Math"/>
                <w:color w:val="000000" w:themeColor="text1"/>
                <w:sz w:val="21"/>
                <w14:textFill>
                  <w14:solidFill>
                    <w14:schemeClr w14:val="tx1"/>
                  </w14:solidFill>
                </w14:textFill>
              </w:rPr>
              <w:t>S</w:t>
            </w:r>
            <w:r>
              <w:rPr>
                <w:rFonts w:ascii="Times New Roman" w:hAnsi="Times New Roman"/>
                <w:color w:val="000000" w:themeColor="text1"/>
                <w:sz w:val="21"/>
                <w:vertAlign w:val="subscript"/>
                <w14:textFill>
                  <w14:solidFill>
                    <w14:schemeClr w14:val="tx1"/>
                  </w14:solidFill>
                </w14:textFill>
              </w:rPr>
              <w:t>Fk</w:t>
            </w:r>
            <w:r>
              <w:rPr>
                <w:rFonts w:hint="eastAsia" w:ascii="Times New Roman" w:hAnsi="Times New Roman"/>
                <w:color w:val="000000" w:themeColor="text1"/>
                <w:spacing w:val="57"/>
                <w:w w:val="150"/>
                <w:sz w:val="21"/>
                <w14:textFill>
                  <w14:solidFill>
                    <w14:schemeClr w14:val="tx1"/>
                  </w14:solidFill>
                </w14:textFill>
              </w:rPr>
              <w:t>)</w:t>
            </w:r>
            <w:r>
              <w:rPr>
                <w:rFonts w:ascii="Times New Roman" w:hAnsi="Times New Roman"/>
                <w:color w:val="000000" w:themeColor="text1"/>
                <w:spacing w:val="-2"/>
                <w:sz w:val="21"/>
                <w14:textFill>
                  <w14:solidFill>
                    <w14:schemeClr w14:val="tx1"/>
                  </w14:solidFill>
                </w14:textFill>
              </w:rPr>
              <w:t>+1.5</w:t>
            </w:r>
            <w:r>
              <w:rPr>
                <w:rFonts w:ascii="Cambria Math" w:hAnsi="Cambria Math"/>
                <w:color w:val="000000" w:themeColor="text1"/>
                <w:spacing w:val="-2"/>
                <w:sz w:val="21"/>
                <w14:textFill>
                  <w14:solidFill>
                    <w14:schemeClr w14:val="tx1"/>
                  </w14:solidFill>
                </w14:textFill>
              </w:rPr>
              <w:t>S</w:t>
            </w:r>
            <w:r>
              <w:rPr>
                <w:rFonts w:ascii="Times New Roman" w:hAnsi="Times New Roman"/>
                <w:color w:val="000000" w:themeColor="text1"/>
                <w:spacing w:val="-2"/>
                <w:sz w:val="21"/>
                <w:vertAlign w:val="subscript"/>
                <w14:textFill>
                  <w14:solidFill>
                    <w14:schemeClr w14:val="tx1"/>
                  </w14:solidFill>
                </w14:textFill>
              </w:rPr>
              <w:t>Wk</w:t>
            </w:r>
          </w:p>
        </w:tc>
        <w:tc>
          <w:tcPr>
            <w:tcW w:w="1597" w:type="dxa"/>
          </w:tcPr>
          <w:p w14:paraId="13A43C64">
            <w:pPr>
              <w:pStyle w:val="67"/>
              <w:jc w:val="center"/>
              <w:rPr>
                <w:rFonts w:hint="eastAsia"/>
                <w:b/>
                <w:sz w:val="15"/>
              </w:rPr>
            </w:pPr>
          </w:p>
          <w:p w14:paraId="1EAD8A0B">
            <w:pPr>
              <w:pStyle w:val="67"/>
              <w:jc w:val="center"/>
              <w:rPr>
                <w:rFonts w:hint="eastAsia"/>
                <w:b/>
                <w:sz w:val="15"/>
              </w:rPr>
            </w:pPr>
            <w:r>
              <w:rPr>
                <w:rFonts w:ascii="Cambria Math"/>
                <w:position w:val="4"/>
                <w:sz w:val="21"/>
              </w:rPr>
              <w:t>S</w:t>
            </w:r>
            <w:r>
              <w:rPr>
                <w:rFonts w:ascii="Times New Roman"/>
                <w:sz w:val="15"/>
              </w:rPr>
              <w:t>Gk</w:t>
            </w:r>
            <w:r>
              <w:rPr>
                <w:rFonts w:ascii="Times New Roman"/>
                <w:spacing w:val="20"/>
                <w:sz w:val="15"/>
              </w:rPr>
              <w:t xml:space="preserve"> </w:t>
            </w:r>
            <w:r>
              <w:rPr>
                <w:rFonts w:ascii="Cambria Math"/>
                <w:position w:val="4"/>
                <w:sz w:val="21"/>
              </w:rPr>
              <w:t>+</w:t>
            </w:r>
            <w:r>
              <w:rPr>
                <w:rFonts w:ascii="Cambria Math"/>
                <w:spacing w:val="-1"/>
                <w:position w:val="4"/>
                <w:sz w:val="21"/>
              </w:rPr>
              <w:t xml:space="preserve"> </w:t>
            </w:r>
            <w:r>
              <w:rPr>
                <w:rFonts w:ascii="Cambria Math"/>
                <w:spacing w:val="-5"/>
                <w:position w:val="4"/>
                <w:sz w:val="21"/>
              </w:rPr>
              <w:t>S</w:t>
            </w:r>
            <w:r>
              <w:rPr>
                <w:rFonts w:ascii="Times New Roman"/>
                <w:spacing w:val="-5"/>
                <w:sz w:val="15"/>
              </w:rPr>
              <w:t>Qk</w:t>
            </w:r>
          </w:p>
        </w:tc>
      </w:tr>
    </w:tbl>
    <w:p w14:paraId="3D666ED8">
      <w:pPr>
        <w:keepNext w:val="0"/>
        <w:keepLines w:val="0"/>
        <w:pageBreakBefore w:val="0"/>
        <w:widowControl w:val="0"/>
        <w:tabs>
          <w:tab w:val="left" w:pos="1349"/>
        </w:tabs>
        <w:kinsoku/>
        <w:wordWrap/>
        <w:overflowPunct/>
        <w:topLinePunct w:val="0"/>
        <w:autoSpaceDE/>
        <w:autoSpaceDN/>
        <w:bidi w:val="0"/>
        <w:adjustRightInd/>
        <w:snapToGrid/>
        <w:spacing w:before="97"/>
        <w:ind w:right="697" w:firstLine="404" w:firstLineChars="200"/>
        <w:textAlignment w:val="auto"/>
        <w:rPr>
          <w:rFonts w:hint="default" w:ascii="Times New Roman" w:hAnsi="Times New Roman" w:cs="Times New Roman"/>
          <w:sz w:val="21"/>
        </w:rPr>
      </w:pPr>
      <w:r>
        <w:rPr>
          <w:rFonts w:hint="default" w:ascii="Times New Roman" w:hAnsi="Times New Roman" w:eastAsia="宋体" w:cs="Times New Roman"/>
          <w:spacing w:val="-4"/>
          <w:sz w:val="21"/>
          <w:szCs w:val="21"/>
        </w:rPr>
        <w:t>注：</w:t>
      </w:r>
      <w:r>
        <w:rPr>
          <w:rFonts w:hint="default" w:ascii="Times New Roman" w:hAnsi="Times New Roman" w:eastAsia="Times New Roman" w:cs="Times New Roman"/>
          <w:b/>
          <w:spacing w:val="-4"/>
          <w:sz w:val="21"/>
        </w:rPr>
        <w:t>1</w:t>
      </w:r>
      <w:r>
        <w:rPr>
          <w:rFonts w:hint="eastAsia" w:ascii="Times New Roman" w:hAnsi="Times New Roman" w:eastAsia="宋体" w:cs="Times New Roman"/>
          <w:b/>
          <w:spacing w:val="-4"/>
          <w:sz w:val="21"/>
          <w:lang w:val="en-US" w:eastAsia="zh-CN"/>
        </w:rPr>
        <w:t xml:space="preserve">  </w:t>
      </w:r>
      <w:r>
        <w:rPr>
          <w:rFonts w:hint="default" w:ascii="Times New Roman" w:hAnsi="Times New Roman" w:eastAsia="Cambria Math" w:cs="Times New Roman"/>
          <w:spacing w:val="-4"/>
          <w:sz w:val="21"/>
        </w:rPr>
        <w:t>S</w:t>
      </w:r>
      <w:r>
        <w:rPr>
          <w:rFonts w:hint="default" w:ascii="Times New Roman" w:hAnsi="Times New Roman" w:eastAsia="Times New Roman" w:cs="Times New Roman"/>
          <w:spacing w:val="-4"/>
          <w:sz w:val="21"/>
          <w:vertAlign w:val="subscript"/>
        </w:rPr>
        <w:t>Gk</w:t>
      </w:r>
      <w:r>
        <w:rPr>
          <w:rFonts w:hint="default" w:ascii="Times New Roman" w:hAnsi="Times New Roman" w:cs="Times New Roman"/>
          <w:spacing w:val="-4"/>
          <w:sz w:val="21"/>
        </w:rPr>
        <w:t>为永久荷载标准值，包括支承系统、框架系统自重标准值、模板自重标准值、</w:t>
      </w:r>
      <w:r>
        <w:rPr>
          <w:rFonts w:hint="default" w:ascii="Times New Roman" w:hAnsi="Times New Roman" w:cs="Times New Roman"/>
          <w:spacing w:val="-2"/>
          <w:sz w:val="21"/>
        </w:rPr>
        <w:t>挂架系统自重标准值。</w:t>
      </w:r>
    </w:p>
    <w:p w14:paraId="14E632FE">
      <w:pPr>
        <w:keepNext w:val="0"/>
        <w:keepLines w:val="0"/>
        <w:pageBreakBefore w:val="0"/>
        <w:widowControl w:val="0"/>
        <w:tabs>
          <w:tab w:val="left" w:pos="1402"/>
        </w:tabs>
        <w:kinsoku/>
        <w:wordWrap/>
        <w:overflowPunct/>
        <w:topLinePunct w:val="0"/>
        <w:autoSpaceDE/>
        <w:autoSpaceDN/>
        <w:bidi w:val="0"/>
        <w:adjustRightInd/>
        <w:snapToGrid/>
        <w:spacing w:before="89"/>
        <w:ind w:firstLine="380" w:firstLineChars="200"/>
        <w:textAlignment w:val="auto"/>
        <w:rPr>
          <w:rFonts w:hint="default" w:ascii="Times New Roman" w:hAnsi="Times New Roman" w:cs="Times New Roman"/>
          <w:spacing w:val="-2"/>
          <w:sz w:val="21"/>
          <w:lang w:eastAsia="zh-CN"/>
        </w:rPr>
      </w:pPr>
      <w:r>
        <w:rPr>
          <w:rFonts w:hint="default" w:ascii="Times New Roman" w:hAnsi="Times New Roman" w:eastAsia="Times New Roman" w:cs="Times New Roman"/>
          <w:b/>
          <w:spacing w:val="-10"/>
          <w:sz w:val="21"/>
        </w:rPr>
        <w:t>2</w:t>
      </w:r>
      <w:r>
        <w:rPr>
          <w:rFonts w:hint="eastAsia" w:ascii="Times New Roman" w:hAnsi="Times New Roman" w:eastAsia="宋体" w:cs="Times New Roman"/>
          <w:b/>
          <w:spacing w:val="-10"/>
          <w:sz w:val="21"/>
          <w:lang w:val="en-US" w:eastAsia="zh-CN"/>
        </w:rPr>
        <w:t xml:space="preserve">  </w:t>
      </w:r>
      <w:r>
        <w:rPr>
          <w:rFonts w:hint="default" w:ascii="Times New Roman" w:hAnsi="Times New Roman" w:eastAsia="Cambria Math" w:cs="Times New Roman"/>
          <w:sz w:val="21"/>
        </w:rPr>
        <w:t>S</w:t>
      </w:r>
      <w:r>
        <w:rPr>
          <w:rFonts w:hint="default" w:ascii="Times New Roman" w:hAnsi="Times New Roman" w:eastAsia="Times New Roman" w:cs="Times New Roman"/>
          <w:sz w:val="21"/>
          <w:vertAlign w:val="subscript"/>
        </w:rPr>
        <w:t>Qk</w:t>
      </w:r>
      <w:r>
        <w:rPr>
          <w:rFonts w:hint="default" w:ascii="Times New Roman" w:hAnsi="Times New Roman" w:eastAsia="Times New Roman" w:cs="Times New Roman"/>
          <w:spacing w:val="25"/>
          <w:sz w:val="21"/>
        </w:rPr>
        <w:t xml:space="preserve"> </w:t>
      </w:r>
      <w:r>
        <w:rPr>
          <w:rFonts w:hint="default" w:ascii="Times New Roman" w:hAnsi="Times New Roman" w:eastAsia="Cambria Math" w:cs="Times New Roman"/>
          <w:spacing w:val="10"/>
          <w:sz w:val="21"/>
        </w:rPr>
        <w:t xml:space="preserve">= </w:t>
      </w:r>
      <w:r>
        <w:rPr>
          <w:rFonts w:hint="default" w:ascii="Times New Roman" w:hAnsi="Times New Roman" w:eastAsia="Cambria Math" w:cs="Times New Roman"/>
          <w:sz w:val="21"/>
        </w:rPr>
        <w:t>M</w:t>
      </w:r>
      <w:r>
        <w:rPr>
          <w:rFonts w:hint="default" w:ascii="Times New Roman" w:hAnsi="Times New Roman" w:eastAsia="Cambria Math" w:cs="Times New Roman"/>
          <w:sz w:val="21"/>
          <w:vertAlign w:val="subscript"/>
        </w:rPr>
        <w:t>k</w:t>
      </w:r>
      <w:r>
        <w:rPr>
          <w:rFonts w:hint="default" w:ascii="Times New Roman" w:hAnsi="Times New Roman" w:eastAsia="Cambria Math" w:cs="Times New Roman"/>
          <w:spacing w:val="8"/>
          <w:sz w:val="21"/>
        </w:rPr>
        <w:t xml:space="preserve"> + </w:t>
      </w:r>
      <w:r>
        <w:rPr>
          <w:rFonts w:hint="default" w:ascii="Times New Roman" w:hAnsi="Times New Roman" w:eastAsia="Cambria Math" w:cs="Times New Roman"/>
          <w:sz w:val="21"/>
        </w:rPr>
        <w:t>L</w:t>
      </w:r>
      <w:r>
        <w:rPr>
          <w:rFonts w:hint="default" w:ascii="Times New Roman" w:hAnsi="Times New Roman" w:eastAsia="Cambria Math" w:cs="Times New Roman"/>
          <w:sz w:val="21"/>
          <w:vertAlign w:val="subscript"/>
        </w:rPr>
        <w:t>k</w:t>
      </w:r>
      <w:r>
        <w:rPr>
          <w:rFonts w:hint="default" w:ascii="Times New Roman" w:hAnsi="Times New Roman" w:eastAsia="Cambria Math" w:cs="Times New Roman"/>
          <w:spacing w:val="8"/>
          <w:sz w:val="21"/>
        </w:rPr>
        <w:t xml:space="preserve"> + </w:t>
      </w:r>
      <w:r>
        <w:rPr>
          <w:rFonts w:hint="default" w:ascii="Times New Roman" w:hAnsi="Times New Roman" w:eastAsia="Cambria Math" w:cs="Times New Roman"/>
          <w:sz w:val="21"/>
        </w:rPr>
        <w:t>C</w:t>
      </w:r>
      <w:r>
        <w:rPr>
          <w:rFonts w:hint="default" w:ascii="Times New Roman" w:hAnsi="Times New Roman" w:eastAsia="Cambria Math" w:cs="Times New Roman"/>
          <w:sz w:val="21"/>
          <w:vertAlign w:val="subscript"/>
        </w:rPr>
        <w:t>k</w:t>
      </w:r>
      <w:r>
        <w:rPr>
          <w:rFonts w:hint="default" w:ascii="Times New Roman" w:hAnsi="Times New Roman" w:eastAsia="Cambria Math" w:cs="Times New Roman"/>
          <w:spacing w:val="9"/>
          <w:sz w:val="21"/>
        </w:rPr>
        <w:t xml:space="preserve"> + </w:t>
      </w:r>
      <w:r>
        <w:rPr>
          <w:rFonts w:hint="default" w:ascii="Times New Roman" w:hAnsi="Times New Roman" w:eastAsia="Cambria Math" w:cs="Times New Roman"/>
          <w:sz w:val="21"/>
        </w:rPr>
        <w:t>F</w:t>
      </w:r>
      <w:r>
        <w:rPr>
          <w:rFonts w:hint="default" w:ascii="Times New Roman" w:hAnsi="Times New Roman" w:eastAsia="Cambria Math" w:cs="Times New Roman"/>
          <w:sz w:val="21"/>
          <w:vertAlign w:val="subscript"/>
        </w:rPr>
        <w:t>k</w:t>
      </w:r>
      <w:r>
        <w:rPr>
          <w:rFonts w:hint="default" w:ascii="Times New Roman" w:hAnsi="Times New Roman" w:eastAsia="Cambria Math" w:cs="Times New Roman"/>
          <w:spacing w:val="8"/>
          <w:sz w:val="21"/>
        </w:rPr>
        <w:t xml:space="preserve"> + </w:t>
      </w:r>
      <w:r>
        <w:rPr>
          <w:rFonts w:hint="default" w:ascii="Times New Roman" w:hAnsi="Times New Roman" w:eastAsia="Cambria Math" w:cs="Times New Roman"/>
          <w:sz w:val="21"/>
        </w:rPr>
        <w:t>W</w:t>
      </w:r>
      <w:r>
        <w:rPr>
          <w:rFonts w:hint="default" w:ascii="Times New Roman" w:hAnsi="Times New Roman" w:eastAsia="Cambria Math" w:cs="Times New Roman"/>
          <w:sz w:val="21"/>
          <w:vertAlign w:val="subscript"/>
        </w:rPr>
        <w:t>k</w:t>
      </w:r>
      <w:r>
        <w:rPr>
          <w:rFonts w:hint="default" w:ascii="Times New Roman" w:hAnsi="Times New Roman" w:cs="Times New Roman"/>
          <w:sz w:val="21"/>
        </w:rPr>
        <w:t>，</w:t>
      </w:r>
      <w:r>
        <w:rPr>
          <w:rFonts w:hint="default" w:ascii="Times New Roman" w:hAnsi="Times New Roman" w:eastAsia="Cambria Math" w:cs="Times New Roman"/>
          <w:sz w:val="21"/>
        </w:rPr>
        <w:t>S</w:t>
      </w:r>
      <w:r>
        <w:rPr>
          <w:rFonts w:hint="default" w:ascii="Times New Roman" w:hAnsi="Times New Roman" w:eastAsia="Times New Roman" w:cs="Times New Roman"/>
          <w:sz w:val="21"/>
          <w:vertAlign w:val="subscript"/>
        </w:rPr>
        <w:t>Qk</w:t>
      </w:r>
      <w:r>
        <w:rPr>
          <w:rFonts w:hint="default" w:ascii="Times New Roman" w:hAnsi="Times New Roman" w:cs="Times New Roman"/>
          <w:spacing w:val="-1"/>
          <w:sz w:val="21"/>
        </w:rPr>
        <w:t>为可变荷载标准值，包括施工机具荷</w:t>
      </w:r>
      <w:r>
        <w:rPr>
          <w:rFonts w:hint="default" w:ascii="Times New Roman" w:hAnsi="Times New Roman" w:cs="Times New Roman"/>
          <w:spacing w:val="-2"/>
          <w:sz w:val="21"/>
          <w:lang w:eastAsia="zh-CN"/>
        </w:rPr>
        <w:t>载标准值</w:t>
      </w:r>
      <w:r>
        <w:rPr>
          <w:rFonts w:hint="default" w:ascii="Times New Roman" w:hAnsi="Times New Roman" w:eastAsia="Cambria Math" w:cs="Times New Roman"/>
          <w:spacing w:val="-2"/>
          <w:sz w:val="21"/>
          <w:lang w:eastAsia="zh-CN"/>
        </w:rPr>
        <w:t>M</w:t>
      </w:r>
      <w:r>
        <w:rPr>
          <w:rFonts w:hint="default" w:ascii="Times New Roman" w:hAnsi="Times New Roman" w:eastAsia="Cambria Math" w:cs="Times New Roman"/>
          <w:spacing w:val="-2"/>
          <w:sz w:val="21"/>
          <w:vertAlign w:val="subscript"/>
          <w:lang w:eastAsia="zh-CN"/>
        </w:rPr>
        <w:t>k</w:t>
      </w:r>
      <w:r>
        <w:rPr>
          <w:rFonts w:hint="default" w:ascii="Times New Roman" w:hAnsi="Times New Roman" w:cs="Times New Roman"/>
          <w:spacing w:val="-2"/>
          <w:sz w:val="21"/>
          <w:lang w:eastAsia="zh-CN"/>
        </w:rPr>
        <w:t>、材料堆积荷载标准值</w:t>
      </w:r>
      <w:r>
        <w:rPr>
          <w:rFonts w:hint="default" w:ascii="Times New Roman" w:hAnsi="Times New Roman" w:eastAsia="Cambria Math" w:cs="Times New Roman"/>
          <w:spacing w:val="-2"/>
          <w:sz w:val="21"/>
          <w:lang w:eastAsia="zh-CN"/>
        </w:rPr>
        <w:t>L</w:t>
      </w:r>
      <w:r>
        <w:rPr>
          <w:rFonts w:hint="default" w:ascii="Times New Roman" w:hAnsi="Times New Roman" w:eastAsia="Cambria Math" w:cs="Times New Roman"/>
          <w:spacing w:val="-2"/>
          <w:sz w:val="21"/>
          <w:vertAlign w:val="subscript"/>
          <w:lang w:eastAsia="zh-CN"/>
        </w:rPr>
        <w:t>k</w:t>
      </w:r>
      <w:r>
        <w:rPr>
          <w:rFonts w:hint="default" w:ascii="Times New Roman" w:hAnsi="Times New Roman" w:cs="Times New Roman"/>
          <w:spacing w:val="-2"/>
          <w:sz w:val="21"/>
          <w:lang w:eastAsia="zh-CN"/>
        </w:rPr>
        <w:t>、钢平台施工人员荷载标准值</w:t>
      </w:r>
      <w:r>
        <w:rPr>
          <w:rFonts w:hint="default" w:ascii="Times New Roman" w:hAnsi="Times New Roman" w:eastAsia="Cambria Math" w:cs="Times New Roman"/>
          <w:spacing w:val="-2"/>
          <w:sz w:val="21"/>
          <w:lang w:eastAsia="zh-CN"/>
        </w:rPr>
        <w:t>C</w:t>
      </w:r>
      <w:r>
        <w:rPr>
          <w:rFonts w:hint="default" w:ascii="Times New Roman" w:hAnsi="Times New Roman" w:eastAsia="Cambria Math" w:cs="Times New Roman"/>
          <w:spacing w:val="-2"/>
          <w:sz w:val="21"/>
          <w:vertAlign w:val="subscript"/>
          <w:lang w:eastAsia="zh-CN"/>
        </w:rPr>
        <w:t>k</w:t>
      </w:r>
      <w:r>
        <w:rPr>
          <w:rFonts w:hint="default" w:ascii="Times New Roman" w:hAnsi="Times New Roman" w:cs="Times New Roman"/>
          <w:spacing w:val="-2"/>
          <w:sz w:val="21"/>
          <w:lang w:eastAsia="zh-CN"/>
        </w:rPr>
        <w:t>、挂架施工人员荷载标准值</w:t>
      </w:r>
      <w:r>
        <w:rPr>
          <w:rFonts w:hint="default" w:ascii="Times New Roman" w:hAnsi="Times New Roman" w:eastAsia="Cambria Math" w:cs="Times New Roman"/>
          <w:spacing w:val="-2"/>
          <w:sz w:val="21"/>
          <w:lang w:eastAsia="zh-CN"/>
        </w:rPr>
        <w:t>F</w:t>
      </w:r>
      <w:r>
        <w:rPr>
          <w:rFonts w:hint="default" w:ascii="Times New Roman" w:hAnsi="Times New Roman" w:eastAsia="Cambria Math" w:cs="Times New Roman"/>
          <w:spacing w:val="-2"/>
          <w:sz w:val="21"/>
          <w:vertAlign w:val="subscript"/>
          <w:lang w:eastAsia="zh-CN"/>
        </w:rPr>
        <w:t>k</w:t>
      </w:r>
      <w:r>
        <w:rPr>
          <w:rFonts w:hint="default" w:ascii="Times New Roman" w:hAnsi="Times New Roman" w:cs="Times New Roman"/>
          <w:spacing w:val="-16"/>
          <w:sz w:val="21"/>
          <w:lang w:eastAsia="zh-CN"/>
        </w:rPr>
        <w:t>、风荷载标准值</w:t>
      </w:r>
      <w:r>
        <w:rPr>
          <w:rFonts w:hint="default" w:ascii="Times New Roman" w:hAnsi="Times New Roman" w:eastAsia="Cambria Math" w:cs="Times New Roman"/>
          <w:spacing w:val="-2"/>
          <w:sz w:val="21"/>
          <w:lang w:eastAsia="zh-CN"/>
        </w:rPr>
        <w:t>W</w:t>
      </w:r>
      <w:r>
        <w:rPr>
          <w:rFonts w:hint="default" w:ascii="Times New Roman" w:hAnsi="Times New Roman" w:eastAsia="Cambria Math" w:cs="Times New Roman"/>
          <w:spacing w:val="-2"/>
          <w:sz w:val="21"/>
          <w:vertAlign w:val="subscript"/>
          <w:lang w:eastAsia="zh-CN"/>
        </w:rPr>
        <w:t>k</w:t>
      </w:r>
      <w:r>
        <w:rPr>
          <w:rFonts w:hint="default" w:ascii="Times New Roman" w:hAnsi="Times New Roman" w:cs="Times New Roman"/>
          <w:spacing w:val="-2"/>
          <w:sz w:val="21"/>
          <w:lang w:eastAsia="zh-CN"/>
        </w:rPr>
        <w:t>。</w:t>
      </w:r>
    </w:p>
    <w:p w14:paraId="4544FDCD">
      <w:pPr>
        <w:pStyle w:val="11"/>
        <w:keepNext w:val="0"/>
        <w:keepLines w:val="0"/>
        <w:pageBreakBefore w:val="0"/>
        <w:widowControl w:val="0"/>
        <w:kinsoku/>
        <w:wordWrap/>
        <w:overflowPunct/>
        <w:topLinePunct w:val="0"/>
        <w:autoSpaceDE/>
        <w:autoSpaceDN/>
        <w:bidi w:val="0"/>
        <w:adjustRightInd/>
        <w:snapToGrid/>
        <w:ind w:left="108" w:firstLine="380" w:firstLineChars="200"/>
        <w:textAlignment w:val="auto"/>
        <w:rPr>
          <w:rFonts w:hint="eastAsia" w:ascii="宋体" w:hAnsi="宋体" w:eastAsia="宋体" w:cs="宋体"/>
          <w:color w:val="auto"/>
          <w:kern w:val="2"/>
          <w:sz w:val="21"/>
          <w:szCs w:val="21"/>
          <w:lang w:eastAsia="zh-CN"/>
        </w:rPr>
      </w:pPr>
      <w:r>
        <w:rPr>
          <w:rFonts w:hint="eastAsia" w:ascii="Times New Roman" w:hAnsi="Times New Roman" w:eastAsia="Times New Roman"/>
          <w:b/>
          <w:color w:val="auto"/>
          <w:spacing w:val="-10"/>
          <w:kern w:val="2"/>
          <w:sz w:val="21"/>
          <w:szCs w:val="24"/>
          <w:lang w:eastAsia="zh-CN"/>
        </w:rPr>
        <w:t>3</w:t>
      </w:r>
      <w:r>
        <w:rPr>
          <w:rFonts w:hint="eastAsia" w:ascii="Cambria Math" w:hAnsi="Cambria Math"/>
          <w:color w:val="00B0F0"/>
          <w:spacing w:val="-2"/>
          <w:sz w:val="21"/>
          <w:lang w:eastAsia="zh-CN"/>
        </w:rPr>
        <w:t xml:space="preserve">  </w:t>
      </w:r>
      <w:r>
        <w:rPr>
          <w:rFonts w:hint="eastAsia" w:ascii="Times New Roman" w:hAnsi="Times New Roman"/>
          <w:color w:val="auto"/>
          <w:spacing w:val="-2"/>
          <w:sz w:val="21"/>
          <w:lang w:eastAsia="zh-CN"/>
        </w:rPr>
        <w:t>S</w:t>
      </w:r>
      <w:r>
        <w:rPr>
          <w:rFonts w:hint="eastAsia" w:ascii="Cambria Math" w:hAnsi="Cambria Math"/>
          <w:color w:val="auto"/>
          <w:spacing w:val="-2"/>
          <w:sz w:val="21"/>
          <w:vertAlign w:val="subscript"/>
          <w:lang w:eastAsia="zh-CN"/>
        </w:rPr>
        <w:t>Ehk、</w:t>
      </w:r>
      <w:r>
        <w:rPr>
          <w:rFonts w:hint="eastAsia" w:ascii="Times New Roman" w:hAnsi="Times New Roman"/>
          <w:color w:val="auto"/>
          <w:spacing w:val="-2"/>
          <w:sz w:val="21"/>
          <w:lang w:eastAsia="zh-CN"/>
        </w:rPr>
        <w:t>S</w:t>
      </w:r>
      <w:r>
        <w:rPr>
          <w:rFonts w:hint="eastAsia" w:ascii="Cambria Math" w:hAnsi="Cambria Math"/>
          <w:color w:val="auto"/>
          <w:spacing w:val="-2"/>
          <w:sz w:val="21"/>
          <w:vertAlign w:val="subscript"/>
          <w:lang w:eastAsia="zh-CN"/>
        </w:rPr>
        <w:t>Evk</w:t>
      </w:r>
      <w:r>
        <w:rPr>
          <w:rFonts w:hint="eastAsia" w:ascii="Cambria Math" w:hAnsi="Cambria Math"/>
          <w:color w:val="auto"/>
          <w:spacing w:val="-2"/>
          <w:sz w:val="21"/>
          <w:lang w:eastAsia="zh-CN"/>
        </w:rPr>
        <w:t>分别为水平、竖向地震作用标准值效应。</w:t>
      </w:r>
      <w:r>
        <w:rPr>
          <w:rFonts w:ascii="Cambria Math" w:hAnsi="Cambria Math"/>
          <w:color w:val="auto"/>
          <w:spacing w:val="-2"/>
          <w:sz w:val="21"/>
          <w:lang w:eastAsia="zh-CN"/>
        </w:rPr>
        <w:t>集成平台应以其在主体结构上的最高附着位置及相应施工荷载作为最不利工况，纳入主体结构整体计算模型，按《建筑抗震设计标准》GB/T 50011 的规定进行地震作用效应分析，并满足《超高层建筑施工装备集成平台技术规程》T/CECS 744 的相关技术要求</w:t>
      </w:r>
      <w:r>
        <w:rPr>
          <w:rFonts w:hint="default" w:ascii="Times New Roman" w:hAnsi="Times New Roman" w:cs="Times New Roman"/>
          <w:color w:val="000000" w:themeColor="text1"/>
          <w:spacing w:val="-2"/>
          <w:sz w:val="21"/>
          <w:lang w:eastAsia="zh-CN"/>
          <w14:textFill>
            <w14:solidFill>
              <w14:schemeClr w14:val="tx1"/>
            </w14:solidFill>
          </w14:textFill>
        </w:rPr>
        <w:t>。</w:t>
      </w:r>
    </w:p>
    <w:p w14:paraId="3EEB7A70">
      <w:pPr>
        <w:pStyle w:val="3"/>
      </w:pPr>
      <w:bookmarkStart w:id="85" w:name="_Toc6777"/>
      <w:bookmarkStart w:id="86" w:name="_Toc3163"/>
      <w:r>
        <w:rPr>
          <w:rFonts w:hint="eastAsia"/>
        </w:rPr>
        <w:t>5</w:t>
      </w:r>
      <w:r>
        <w:t>.</w:t>
      </w:r>
      <w:r>
        <w:rPr>
          <w:rFonts w:hint="eastAsia"/>
        </w:rPr>
        <w:t>3</w:t>
      </w:r>
      <w:r>
        <w:t xml:space="preserve">  </w:t>
      </w:r>
      <w:bookmarkEnd w:id="83"/>
      <w:r>
        <w:rPr>
          <w:rFonts w:hint="eastAsia"/>
          <w:lang w:val="en-US" w:eastAsia="zh-CN"/>
        </w:rPr>
        <w:t>平台主体</w:t>
      </w:r>
      <w:r>
        <w:rPr>
          <w:rFonts w:hint="eastAsia"/>
        </w:rPr>
        <w:t>结构设计</w:t>
      </w:r>
      <w:bookmarkEnd w:id="84"/>
      <w:bookmarkEnd w:id="85"/>
      <w:bookmarkEnd w:id="86"/>
    </w:p>
    <w:p w14:paraId="328FF4F0">
      <w:pPr>
        <w:rPr>
          <w:spacing w:val="-2"/>
          <w:sz w:val="24"/>
          <w:szCs w:val="24"/>
          <w:highlight w:val="none"/>
        </w:rPr>
      </w:pPr>
      <w:bookmarkStart w:id="87" w:name="_Toc22383"/>
      <w:r>
        <w:rPr>
          <w:rFonts w:hint="eastAsia"/>
          <w:b/>
          <w:bCs/>
          <w:sz w:val="24"/>
          <w:szCs w:val="24"/>
          <w:highlight w:val="none"/>
        </w:rPr>
        <w:t>5</w:t>
      </w:r>
      <w:r>
        <w:rPr>
          <w:b/>
          <w:bCs/>
          <w:sz w:val="24"/>
          <w:szCs w:val="24"/>
          <w:highlight w:val="none"/>
        </w:rPr>
        <w:t>.3.1</w:t>
      </w:r>
      <w:r>
        <w:rPr>
          <w:rFonts w:hint="eastAsia"/>
          <w:sz w:val="24"/>
          <w:szCs w:val="24"/>
          <w:highlight w:val="none"/>
        </w:rPr>
        <w:t xml:space="preserve">  </w:t>
      </w:r>
      <w:bookmarkEnd w:id="87"/>
      <w:r>
        <w:rPr>
          <w:rFonts w:hint="eastAsia"/>
          <w:spacing w:val="-2"/>
          <w:sz w:val="24"/>
          <w:szCs w:val="24"/>
          <w:highlight w:val="none"/>
          <w:lang w:val="en-US" w:eastAsia="zh-CN"/>
        </w:rPr>
        <w:t>主体</w:t>
      </w:r>
      <w:r>
        <w:rPr>
          <w:rFonts w:hint="eastAsia"/>
          <w:spacing w:val="-2"/>
          <w:sz w:val="24"/>
          <w:szCs w:val="24"/>
          <w:highlight w:val="none"/>
        </w:rPr>
        <w:t>结构设计包括</w:t>
      </w:r>
      <w:r>
        <w:rPr>
          <w:rFonts w:hint="eastAsia"/>
          <w:spacing w:val="-2"/>
          <w:sz w:val="24"/>
          <w:szCs w:val="24"/>
          <w:highlight w:val="none"/>
          <w:lang w:val="en-US" w:eastAsia="zh-CN"/>
        </w:rPr>
        <w:t>钢平台系统</w:t>
      </w:r>
      <w:r>
        <w:rPr>
          <w:rFonts w:hint="eastAsia"/>
          <w:spacing w:val="-2"/>
          <w:sz w:val="24"/>
          <w:szCs w:val="24"/>
          <w:highlight w:val="none"/>
        </w:rPr>
        <w:t>、</w:t>
      </w:r>
      <w:r>
        <w:rPr>
          <w:rFonts w:hint="eastAsia"/>
          <w:spacing w:val="-2"/>
          <w:sz w:val="24"/>
          <w:szCs w:val="24"/>
          <w:highlight w:val="none"/>
          <w:lang w:val="en-US" w:eastAsia="zh-CN"/>
        </w:rPr>
        <w:t>支承系统等设计</w:t>
      </w:r>
      <w:r>
        <w:rPr>
          <w:spacing w:val="-2"/>
          <w:sz w:val="24"/>
          <w:szCs w:val="24"/>
          <w:highlight w:val="none"/>
        </w:rPr>
        <w:t>。</w:t>
      </w:r>
    </w:p>
    <w:p w14:paraId="3037D717">
      <w:pPr>
        <w:tabs>
          <w:tab w:val="left" w:pos="724"/>
        </w:tabs>
        <w:autoSpaceDE w:val="0"/>
        <w:autoSpaceDN w:val="0"/>
        <w:jc w:val="left"/>
        <w:rPr>
          <w:rFonts w:hint="eastAsia"/>
          <w:sz w:val="24"/>
          <w:szCs w:val="24"/>
        </w:rPr>
      </w:pPr>
      <w:r>
        <w:rPr>
          <w:rFonts w:hint="eastAsia"/>
          <w:b/>
          <w:bCs/>
          <w:spacing w:val="-2"/>
          <w:sz w:val="24"/>
          <w:szCs w:val="24"/>
        </w:rPr>
        <w:t>5.3.2</w:t>
      </w:r>
      <w:r>
        <w:rPr>
          <w:rFonts w:hint="eastAsia"/>
          <w:spacing w:val="-2"/>
          <w:sz w:val="24"/>
          <w:szCs w:val="24"/>
        </w:rPr>
        <w:t xml:space="preserve"> </w:t>
      </w:r>
      <w:r>
        <w:rPr>
          <w:spacing w:val="-2"/>
          <w:sz w:val="24"/>
          <w:szCs w:val="24"/>
        </w:rPr>
        <w:tab/>
      </w:r>
      <w:r>
        <w:rPr>
          <w:spacing w:val="-1"/>
          <w:sz w:val="24"/>
          <w:szCs w:val="24"/>
        </w:rPr>
        <w:t>集成平台支承点位置设计应根据所有楼层结构平面布置图综合确定。</w:t>
      </w:r>
    </w:p>
    <w:p w14:paraId="5C71B3E6">
      <w:pPr>
        <w:rPr>
          <w:sz w:val="24"/>
          <w:szCs w:val="24"/>
        </w:rPr>
      </w:pPr>
      <w:bookmarkStart w:id="88" w:name="_Toc32497"/>
      <w:r>
        <w:rPr>
          <w:rFonts w:hint="eastAsia"/>
          <w:b/>
          <w:bCs/>
          <w:sz w:val="24"/>
          <w:szCs w:val="24"/>
        </w:rPr>
        <w:t>5</w:t>
      </w:r>
      <w:r>
        <w:rPr>
          <w:b/>
          <w:bCs/>
          <w:sz w:val="24"/>
          <w:szCs w:val="24"/>
        </w:rPr>
        <w:t>.3.</w:t>
      </w:r>
      <w:r>
        <w:rPr>
          <w:rFonts w:hint="eastAsia"/>
          <w:b/>
          <w:bCs/>
          <w:sz w:val="24"/>
          <w:szCs w:val="24"/>
        </w:rPr>
        <w:t>3</w:t>
      </w:r>
      <w:r>
        <w:rPr>
          <w:rFonts w:hint="eastAsia"/>
          <w:sz w:val="24"/>
          <w:szCs w:val="24"/>
        </w:rPr>
        <w:t xml:space="preserve">  </w:t>
      </w:r>
      <w:bookmarkEnd w:id="88"/>
      <w:bookmarkStart w:id="89" w:name="_Toc14604"/>
      <w:r>
        <w:rPr>
          <w:spacing w:val="-1"/>
          <w:sz w:val="24"/>
          <w:szCs w:val="24"/>
        </w:rPr>
        <w:t>支承</w:t>
      </w:r>
      <w:r>
        <w:rPr>
          <w:rFonts w:hint="eastAsia"/>
          <w:spacing w:val="-1"/>
          <w:sz w:val="24"/>
          <w:szCs w:val="24"/>
          <w:lang w:val="en-US" w:eastAsia="zh-CN"/>
        </w:rPr>
        <w:t>结构</w:t>
      </w:r>
      <w:r>
        <w:rPr>
          <w:spacing w:val="-1"/>
          <w:sz w:val="24"/>
          <w:szCs w:val="24"/>
        </w:rPr>
        <w:t>设计应符合下列规定：</w:t>
      </w:r>
    </w:p>
    <w:p w14:paraId="110F551A">
      <w:pPr>
        <w:keepNext w:val="0"/>
        <w:keepLines w:val="0"/>
        <w:pageBreakBefore w:val="0"/>
        <w:widowControl w:val="0"/>
        <w:kinsoku/>
        <w:wordWrap/>
        <w:overflowPunct/>
        <w:topLinePunct w:val="0"/>
        <w:autoSpaceDE/>
        <w:autoSpaceDN/>
        <w:bidi w:val="0"/>
        <w:adjustRightInd/>
        <w:snapToGrid/>
        <w:ind w:firstLine="474" w:firstLineChars="200"/>
        <w:textAlignment w:val="auto"/>
        <w:rPr>
          <w:rFonts w:hint="default" w:ascii="Times New Roman" w:hAnsi="Times New Roman" w:eastAsia="宋体" w:cs="Times New Roman"/>
          <w:spacing w:val="-2"/>
          <w:sz w:val="24"/>
          <w:szCs w:val="24"/>
          <w:highlight w:val="none"/>
        </w:rPr>
      </w:pPr>
      <w:r>
        <w:rPr>
          <w:rFonts w:hint="default" w:ascii="Times New Roman" w:hAnsi="Times New Roman" w:eastAsia="宋体" w:cs="Times New Roman"/>
          <w:b/>
          <w:bCs/>
          <w:spacing w:val="-2"/>
          <w:sz w:val="24"/>
          <w:szCs w:val="24"/>
          <w:highlight w:val="none"/>
          <w:lang w:val="en-US" w:eastAsia="zh-CN"/>
        </w:rPr>
        <w:t>1</w:t>
      </w:r>
      <w:r>
        <w:rPr>
          <w:rFonts w:hint="default" w:ascii="Times New Roman" w:hAnsi="Times New Roman" w:eastAsia="宋体" w:cs="Times New Roman"/>
          <w:spacing w:val="-2"/>
          <w:sz w:val="24"/>
          <w:szCs w:val="24"/>
          <w:highlight w:val="none"/>
          <w:lang w:val="en-US" w:eastAsia="zh-CN"/>
        </w:rPr>
        <w:t xml:space="preserve">  </w:t>
      </w:r>
      <w:r>
        <w:rPr>
          <w:rFonts w:hint="default" w:ascii="Times New Roman" w:hAnsi="Times New Roman" w:eastAsia="宋体" w:cs="Times New Roman"/>
          <w:spacing w:val="-2"/>
          <w:sz w:val="24"/>
          <w:szCs w:val="24"/>
          <w:highlight w:val="none"/>
        </w:rPr>
        <w:t>支承点宜布置在非连梁区域、无劲性结构、竖向连续的墙体上</w:t>
      </w:r>
      <w:r>
        <w:rPr>
          <w:rFonts w:hint="eastAsia" w:ascii="Times New Roman" w:hAnsi="Times New Roman" w:eastAsia="宋体" w:cs="Times New Roman"/>
          <w:spacing w:val="-2"/>
          <w:sz w:val="24"/>
          <w:szCs w:val="24"/>
          <w:highlight w:val="none"/>
          <w:lang w:eastAsia="zh-CN"/>
        </w:rPr>
        <w:t>，</w:t>
      </w:r>
      <w:r>
        <w:rPr>
          <w:rFonts w:hint="default" w:ascii="Times New Roman" w:hAnsi="Times New Roman" w:eastAsia="宋体" w:cs="Times New Roman"/>
          <w:spacing w:val="-2"/>
          <w:sz w:val="24"/>
          <w:szCs w:val="24"/>
          <w:highlight w:val="none"/>
        </w:rPr>
        <w:t>确需布置连梁时应专项加强验算并出具主体加强设计文件；</w:t>
      </w:r>
    </w:p>
    <w:p w14:paraId="1440720E">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line="240" w:lineRule="auto"/>
        <w:ind w:firstLine="478" w:firstLineChars="200"/>
        <w:jc w:val="left"/>
        <w:textAlignment w:val="auto"/>
        <w:rPr>
          <w:rFonts w:hint="default" w:ascii="Times New Roman" w:hAnsi="Times New Roman" w:eastAsia="Times New Roman" w:cs="Times New Roman"/>
          <w:b/>
          <w:sz w:val="24"/>
          <w:szCs w:val="24"/>
        </w:rPr>
      </w:pPr>
      <w:r>
        <w:rPr>
          <w:rFonts w:hint="default" w:ascii="Times New Roman" w:hAnsi="Times New Roman" w:cs="Times New Roman"/>
          <w:b/>
          <w:bCs/>
          <w:spacing w:val="-1"/>
          <w:sz w:val="24"/>
          <w:szCs w:val="24"/>
          <w:lang w:val="en-US" w:eastAsia="zh-CN"/>
        </w:rPr>
        <w:t>2</w:t>
      </w:r>
      <w:r>
        <w:rPr>
          <w:rFonts w:hint="default" w:ascii="Times New Roman" w:hAnsi="Times New Roman" w:cs="Times New Roman"/>
          <w:spacing w:val="-1"/>
          <w:sz w:val="24"/>
          <w:szCs w:val="24"/>
          <w:lang w:val="en-US" w:eastAsia="zh-CN"/>
        </w:rPr>
        <w:t xml:space="preserve">  </w:t>
      </w:r>
      <w:r>
        <w:rPr>
          <w:rFonts w:hint="default" w:ascii="Times New Roman" w:hAnsi="Times New Roman" w:cs="Times New Roman"/>
          <w:spacing w:val="-1"/>
          <w:sz w:val="24"/>
          <w:szCs w:val="24"/>
        </w:rPr>
        <w:t>支承点的位置应满足塔机支撑梁布置的需求；</w:t>
      </w:r>
    </w:p>
    <w:p w14:paraId="076451FD">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line="240" w:lineRule="auto"/>
        <w:ind w:firstLine="478" w:firstLineChars="20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cs="Times New Roman"/>
          <w:b/>
          <w:bCs/>
          <w:color w:val="auto"/>
          <w:spacing w:val="-1"/>
          <w:sz w:val="24"/>
          <w:szCs w:val="24"/>
          <w:lang w:val="en-US" w:eastAsia="zh-CN"/>
        </w:rPr>
        <w:t>3</w:t>
      </w:r>
      <w:r>
        <w:rPr>
          <w:rFonts w:hint="default" w:ascii="Times New Roman" w:hAnsi="Times New Roman" w:cs="Times New Roman"/>
          <w:color w:val="auto"/>
          <w:spacing w:val="-1"/>
          <w:sz w:val="24"/>
          <w:szCs w:val="24"/>
          <w:lang w:val="en-US" w:eastAsia="zh-CN"/>
        </w:rPr>
        <w:t xml:space="preserve">  </w:t>
      </w:r>
      <w:r>
        <w:rPr>
          <w:rFonts w:hint="default" w:ascii="Times New Roman" w:hAnsi="Times New Roman" w:cs="Times New Roman"/>
          <w:color w:val="auto"/>
          <w:spacing w:val="-1"/>
          <w:sz w:val="24"/>
          <w:szCs w:val="24"/>
        </w:rPr>
        <w:t>承力件、固定件的高度宜与竖向施工段的高度相同；</w:t>
      </w:r>
    </w:p>
    <w:p w14:paraId="4DE717EB">
      <w:pPr>
        <w:keepNext w:val="0"/>
        <w:keepLines w:val="0"/>
        <w:pageBreakBefore w:val="0"/>
        <w:widowControl w:val="0"/>
        <w:kinsoku/>
        <w:wordWrap/>
        <w:overflowPunct/>
        <w:topLinePunct w:val="0"/>
        <w:autoSpaceDE/>
        <w:autoSpaceDN/>
        <w:bidi w:val="0"/>
        <w:adjustRightInd/>
        <w:snapToGrid/>
        <w:ind w:firstLine="474" w:firstLineChars="200"/>
        <w:textAlignment w:val="auto"/>
        <w:rPr>
          <w:rFonts w:hint="default" w:ascii="Times New Roman" w:hAnsi="Times New Roman" w:eastAsia="宋体" w:cs="Times New Roman"/>
          <w:b/>
          <w:bCs/>
          <w:spacing w:val="-2"/>
          <w:sz w:val="24"/>
          <w:szCs w:val="24"/>
          <w:highlight w:val="none"/>
          <w:lang w:val="en-US" w:eastAsia="zh-CN"/>
        </w:rPr>
      </w:pPr>
      <w:r>
        <w:rPr>
          <w:rFonts w:hint="default" w:ascii="Times New Roman" w:hAnsi="Times New Roman" w:eastAsia="宋体" w:cs="Times New Roman"/>
          <w:b/>
          <w:bCs/>
          <w:spacing w:val="-2"/>
          <w:sz w:val="24"/>
          <w:szCs w:val="24"/>
          <w:highlight w:val="none"/>
          <w:lang w:val="en-US" w:eastAsia="zh-CN"/>
        </w:rPr>
        <w:t xml:space="preserve">4  </w:t>
      </w:r>
      <w:r>
        <w:rPr>
          <w:rFonts w:hint="default" w:ascii="Times New Roman" w:hAnsi="Times New Roman" w:eastAsia="宋体" w:cs="Times New Roman"/>
          <w:b w:val="0"/>
          <w:bCs w:val="0"/>
          <w:spacing w:val="-2"/>
          <w:sz w:val="24"/>
          <w:szCs w:val="24"/>
          <w:highlight w:val="none"/>
          <w:lang w:val="en-US" w:eastAsia="zh-CN"/>
        </w:rPr>
        <w:t>承力件表面宜沿横向设置与承力件等宽度的凹槽，凹槽的深×高宜为</w:t>
      </w:r>
      <w:r>
        <w:rPr>
          <w:rFonts w:hint="eastAsia" w:cs="Times New Roman"/>
          <w:b w:val="0"/>
          <w:bCs w:val="0"/>
          <w:spacing w:val="-2"/>
          <w:sz w:val="24"/>
          <w:szCs w:val="24"/>
          <w:highlight w:val="none"/>
          <w:lang w:val="en-US" w:eastAsia="zh-CN"/>
        </w:rPr>
        <w:t>（</w:t>
      </w:r>
      <w:r>
        <w:rPr>
          <w:rFonts w:hint="default" w:ascii="Times New Roman" w:hAnsi="Times New Roman" w:eastAsia="宋体" w:cs="Times New Roman"/>
          <w:b w:val="0"/>
          <w:bCs w:val="0"/>
          <w:spacing w:val="-2"/>
          <w:sz w:val="24"/>
          <w:szCs w:val="24"/>
          <w:highlight w:val="none"/>
          <w:lang w:val="en-US" w:eastAsia="zh-CN"/>
        </w:rPr>
        <w:t>20mm～30mm</w:t>
      </w:r>
      <w:r>
        <w:rPr>
          <w:rFonts w:hint="eastAsia" w:cs="Times New Roman"/>
          <w:b w:val="0"/>
          <w:bCs w:val="0"/>
          <w:spacing w:val="-2"/>
          <w:sz w:val="24"/>
          <w:szCs w:val="24"/>
          <w:highlight w:val="none"/>
          <w:lang w:val="en-US" w:eastAsia="zh-CN"/>
        </w:rPr>
        <w:t>）</w:t>
      </w:r>
      <w:r>
        <w:rPr>
          <w:rFonts w:hint="default" w:ascii="Times New Roman" w:hAnsi="Times New Roman" w:eastAsia="宋体" w:cs="Times New Roman"/>
          <w:b w:val="0"/>
          <w:bCs w:val="0"/>
          <w:spacing w:val="-2"/>
          <w:sz w:val="24"/>
          <w:szCs w:val="24"/>
          <w:highlight w:val="none"/>
          <w:lang w:val="en-US" w:eastAsia="zh-CN"/>
        </w:rPr>
        <w:t>×（200mm～300mm）；</w:t>
      </w:r>
    </w:p>
    <w:p w14:paraId="358D76A0">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line="240" w:lineRule="auto"/>
        <w:ind w:firstLine="478" w:firstLineChars="20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cs="Times New Roman"/>
          <w:b/>
          <w:bCs/>
          <w:color w:val="auto"/>
          <w:spacing w:val="-1"/>
          <w:sz w:val="24"/>
          <w:szCs w:val="24"/>
          <w:lang w:val="en-US" w:eastAsia="zh-CN"/>
        </w:rPr>
        <w:t>5</w:t>
      </w:r>
      <w:r>
        <w:rPr>
          <w:rFonts w:hint="default" w:ascii="Times New Roman" w:hAnsi="Times New Roman" w:cs="Times New Roman"/>
          <w:color w:val="auto"/>
          <w:spacing w:val="-1"/>
          <w:sz w:val="24"/>
          <w:szCs w:val="24"/>
          <w:lang w:val="en-US" w:eastAsia="zh-CN"/>
        </w:rPr>
        <w:t xml:space="preserve">  </w:t>
      </w:r>
      <w:r>
        <w:rPr>
          <w:rFonts w:hint="default" w:ascii="Times New Roman" w:hAnsi="Times New Roman" w:cs="Times New Roman"/>
          <w:color w:val="auto"/>
          <w:spacing w:val="-1"/>
          <w:sz w:val="24"/>
          <w:szCs w:val="24"/>
        </w:rPr>
        <w:t>支承架宜设计为框架结构；</w:t>
      </w:r>
    </w:p>
    <w:p w14:paraId="0F0CB351">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line="240" w:lineRule="auto"/>
        <w:ind w:firstLine="478" w:firstLineChars="200"/>
        <w:jc w:val="left"/>
        <w:textAlignment w:val="auto"/>
        <w:rPr>
          <w:rFonts w:hint="default" w:ascii="Times New Roman" w:hAnsi="Times New Roman" w:eastAsia="Times New Roman" w:cs="Times New Roman"/>
          <w:b/>
          <w:sz w:val="24"/>
          <w:szCs w:val="24"/>
        </w:rPr>
      </w:pPr>
      <w:r>
        <w:rPr>
          <w:rFonts w:hint="default" w:ascii="Times New Roman" w:hAnsi="Times New Roman" w:cs="Times New Roman"/>
          <w:b/>
          <w:bCs/>
          <w:spacing w:val="-1"/>
          <w:sz w:val="24"/>
          <w:szCs w:val="24"/>
          <w:lang w:val="en-US" w:eastAsia="zh-CN"/>
        </w:rPr>
        <w:t>6</w:t>
      </w:r>
      <w:r>
        <w:rPr>
          <w:rFonts w:hint="default" w:ascii="Times New Roman" w:hAnsi="Times New Roman" w:cs="Times New Roman"/>
          <w:spacing w:val="-1"/>
          <w:sz w:val="24"/>
          <w:szCs w:val="24"/>
          <w:lang w:val="en-US" w:eastAsia="zh-CN"/>
        </w:rPr>
        <w:t xml:space="preserve">  </w:t>
      </w:r>
      <w:r>
        <w:rPr>
          <w:rFonts w:hint="default" w:ascii="Times New Roman" w:hAnsi="Times New Roman" w:cs="Times New Roman"/>
          <w:spacing w:val="-1"/>
          <w:sz w:val="24"/>
          <w:szCs w:val="24"/>
        </w:rPr>
        <w:t>承力件与支承架之间的传力机构宜为能够自动翻转、咬合传力的机构；</w:t>
      </w:r>
    </w:p>
    <w:p w14:paraId="7547E012">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line="240" w:lineRule="auto"/>
        <w:ind w:firstLine="478" w:firstLineChars="200"/>
        <w:jc w:val="left"/>
        <w:textAlignment w:val="auto"/>
        <w:rPr>
          <w:rFonts w:hint="default" w:ascii="Times New Roman" w:hAnsi="Times New Roman" w:eastAsia="Times New Roman" w:cs="Times New Roman"/>
          <w:b/>
          <w:sz w:val="24"/>
          <w:szCs w:val="24"/>
        </w:rPr>
      </w:pPr>
      <w:r>
        <w:rPr>
          <w:rFonts w:hint="default" w:ascii="Times New Roman" w:hAnsi="Times New Roman" w:cs="Times New Roman"/>
          <w:b/>
          <w:bCs/>
          <w:spacing w:val="-1"/>
          <w:sz w:val="24"/>
          <w:szCs w:val="24"/>
          <w:lang w:val="en-US" w:eastAsia="zh-CN"/>
        </w:rPr>
        <w:t>7</w:t>
      </w:r>
      <w:r>
        <w:rPr>
          <w:rFonts w:hint="default" w:ascii="Times New Roman" w:hAnsi="Times New Roman" w:cs="Times New Roman"/>
          <w:spacing w:val="-1"/>
          <w:sz w:val="24"/>
          <w:szCs w:val="24"/>
          <w:lang w:val="en-US" w:eastAsia="zh-CN"/>
        </w:rPr>
        <w:t xml:space="preserve">  </w:t>
      </w:r>
      <w:r>
        <w:rPr>
          <w:rFonts w:hint="default" w:ascii="Times New Roman" w:hAnsi="Times New Roman" w:cs="Times New Roman"/>
          <w:spacing w:val="-1"/>
          <w:sz w:val="24"/>
          <w:szCs w:val="24"/>
        </w:rPr>
        <w:t>支承架挂爪和承力件爪靴宜采用等间距设计；</w:t>
      </w:r>
    </w:p>
    <w:p w14:paraId="616C14D6">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ind w:firstLine="478" w:firstLineChars="200"/>
        <w:jc w:val="left"/>
        <w:textAlignment w:val="auto"/>
        <w:rPr>
          <w:rFonts w:ascii="Times New Roman" w:eastAsia="Times New Roman"/>
          <w:b/>
          <w:sz w:val="24"/>
          <w:szCs w:val="24"/>
        </w:rPr>
      </w:pPr>
      <w:r>
        <w:rPr>
          <w:rFonts w:hint="default" w:ascii="Times New Roman" w:hAnsi="Times New Roman" w:cs="Times New Roman"/>
          <w:b/>
          <w:bCs/>
          <w:spacing w:val="-1"/>
          <w:sz w:val="24"/>
          <w:szCs w:val="24"/>
          <w:lang w:val="en-US" w:eastAsia="zh-CN"/>
        </w:rPr>
        <w:t>8</w:t>
      </w:r>
      <w:r>
        <w:rPr>
          <w:rFonts w:hint="default" w:ascii="Times New Roman" w:hAnsi="Times New Roman" w:cs="Times New Roman"/>
          <w:spacing w:val="-1"/>
          <w:sz w:val="24"/>
          <w:szCs w:val="24"/>
          <w:lang w:val="en-US" w:eastAsia="zh-CN"/>
        </w:rPr>
        <w:t xml:space="preserve">  </w:t>
      </w:r>
      <w:r>
        <w:rPr>
          <w:rFonts w:hint="default" w:ascii="Times New Roman" w:hAnsi="Times New Roman" w:cs="Times New Roman"/>
          <w:spacing w:val="-1"/>
          <w:sz w:val="24"/>
          <w:szCs w:val="24"/>
        </w:rPr>
        <w:t>支承架和承力件之间应设置防坠安全装置。</w:t>
      </w:r>
    </w:p>
    <w:p w14:paraId="0C4006C8">
      <w:pPr>
        <w:rPr>
          <w:sz w:val="24"/>
          <w:szCs w:val="24"/>
        </w:rPr>
      </w:pPr>
      <w:r>
        <w:rPr>
          <w:rFonts w:hint="eastAsia"/>
          <w:b/>
          <w:bCs/>
          <w:sz w:val="24"/>
          <w:szCs w:val="24"/>
        </w:rPr>
        <w:t>5</w:t>
      </w:r>
      <w:r>
        <w:rPr>
          <w:b/>
          <w:bCs/>
          <w:sz w:val="24"/>
          <w:szCs w:val="24"/>
        </w:rPr>
        <w:t>.3.</w:t>
      </w:r>
      <w:r>
        <w:rPr>
          <w:rFonts w:hint="eastAsia"/>
          <w:b/>
          <w:bCs/>
          <w:sz w:val="24"/>
          <w:szCs w:val="24"/>
          <w:lang w:val="en-US" w:eastAsia="zh-CN"/>
        </w:rPr>
        <w:t>4</w:t>
      </w:r>
      <w:r>
        <w:rPr>
          <w:rFonts w:hint="eastAsia"/>
          <w:sz w:val="24"/>
          <w:szCs w:val="24"/>
        </w:rPr>
        <w:t xml:space="preserve">  </w:t>
      </w:r>
      <w:bookmarkEnd w:id="89"/>
      <w:bookmarkStart w:id="90" w:name="_Toc2243"/>
      <w:r>
        <w:rPr>
          <w:rFonts w:hint="eastAsia"/>
          <w:sz w:val="24"/>
          <w:szCs w:val="24"/>
          <w:lang w:val="en-US" w:eastAsia="zh-CN"/>
        </w:rPr>
        <w:t>结构</w:t>
      </w:r>
      <w:r>
        <w:rPr>
          <w:spacing w:val="-1"/>
          <w:sz w:val="24"/>
          <w:szCs w:val="24"/>
        </w:rPr>
        <w:t>设计应符合下列规定：</w:t>
      </w:r>
    </w:p>
    <w:p w14:paraId="0F50EE5E">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line="240" w:lineRule="auto"/>
        <w:ind w:firstLine="478" w:firstLineChars="200"/>
        <w:jc w:val="left"/>
        <w:textAlignment w:val="auto"/>
        <w:rPr>
          <w:rFonts w:hint="default" w:ascii="Times New Roman" w:hAnsi="Times New Roman" w:eastAsia="Times New Roman" w:cs="Times New Roman"/>
          <w:sz w:val="24"/>
          <w:szCs w:val="24"/>
        </w:rPr>
      </w:pPr>
      <w:r>
        <w:rPr>
          <w:rFonts w:hint="default" w:ascii="Times New Roman" w:hAnsi="Times New Roman" w:cs="Times New Roman"/>
          <w:b/>
          <w:bCs/>
          <w:spacing w:val="-1"/>
          <w:sz w:val="24"/>
          <w:szCs w:val="24"/>
          <w:lang w:val="en-US" w:eastAsia="zh-CN"/>
        </w:rPr>
        <w:t>1</w:t>
      </w:r>
      <w:r>
        <w:rPr>
          <w:rFonts w:hint="default" w:ascii="Times New Roman" w:hAnsi="Times New Roman" w:cs="Times New Roman"/>
          <w:spacing w:val="-1"/>
          <w:sz w:val="24"/>
          <w:szCs w:val="24"/>
          <w:lang w:val="en-US" w:eastAsia="zh-CN"/>
        </w:rPr>
        <w:t xml:space="preserve">  </w:t>
      </w:r>
      <w:r>
        <w:rPr>
          <w:rFonts w:hint="default" w:ascii="Times New Roman" w:hAnsi="Times New Roman" w:cs="Times New Roman"/>
          <w:spacing w:val="-1"/>
          <w:sz w:val="24"/>
          <w:szCs w:val="24"/>
        </w:rPr>
        <w:t>钢平台宜采用空间桁架结构；</w:t>
      </w:r>
    </w:p>
    <w:p w14:paraId="2ED5391B">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line="240" w:lineRule="auto"/>
        <w:ind w:firstLine="478" w:firstLineChars="200"/>
        <w:jc w:val="left"/>
        <w:textAlignment w:val="auto"/>
        <w:rPr>
          <w:rFonts w:hint="default" w:ascii="Times New Roman" w:hAnsi="Times New Roman" w:eastAsia="Times New Roman" w:cs="Times New Roman"/>
          <w:sz w:val="24"/>
          <w:szCs w:val="24"/>
        </w:rPr>
      </w:pPr>
      <w:r>
        <w:rPr>
          <w:rFonts w:hint="default" w:ascii="Times New Roman" w:hAnsi="Times New Roman" w:cs="Times New Roman"/>
          <w:b/>
          <w:bCs/>
          <w:spacing w:val="-1"/>
          <w:sz w:val="24"/>
          <w:szCs w:val="24"/>
          <w:lang w:val="en-US" w:eastAsia="zh-CN"/>
        </w:rPr>
        <w:t>2</w:t>
      </w:r>
      <w:r>
        <w:rPr>
          <w:rFonts w:hint="default" w:ascii="Times New Roman" w:hAnsi="Times New Roman" w:cs="Times New Roman"/>
          <w:spacing w:val="-1"/>
          <w:sz w:val="24"/>
          <w:szCs w:val="24"/>
          <w:lang w:val="en-US" w:eastAsia="zh-CN"/>
        </w:rPr>
        <w:t xml:space="preserve">  </w:t>
      </w:r>
      <w:r>
        <w:rPr>
          <w:rFonts w:hint="default" w:ascii="Times New Roman" w:hAnsi="Times New Roman" w:cs="Times New Roman"/>
          <w:spacing w:val="-1"/>
          <w:sz w:val="24"/>
          <w:szCs w:val="24"/>
        </w:rPr>
        <w:t>支承立柱宜采用格构柱；</w:t>
      </w:r>
    </w:p>
    <w:p w14:paraId="44FC9A0C">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line="240" w:lineRule="auto"/>
        <w:ind w:firstLine="470" w:firstLineChars="200"/>
        <w:jc w:val="left"/>
        <w:textAlignment w:val="auto"/>
        <w:rPr>
          <w:rFonts w:hint="default" w:ascii="Times New Roman" w:hAnsi="Times New Roman" w:eastAsia="Times New Roman" w:cs="Times New Roman"/>
          <w:sz w:val="24"/>
          <w:szCs w:val="24"/>
        </w:rPr>
      </w:pPr>
      <w:r>
        <w:rPr>
          <w:rFonts w:hint="default" w:ascii="Times New Roman" w:hAnsi="Times New Roman" w:cs="Times New Roman"/>
          <w:b/>
          <w:bCs/>
          <w:spacing w:val="-3"/>
          <w:sz w:val="24"/>
          <w:szCs w:val="24"/>
          <w:lang w:val="en-US" w:eastAsia="zh-CN"/>
        </w:rPr>
        <w:t>3</w:t>
      </w:r>
      <w:r>
        <w:rPr>
          <w:rFonts w:hint="default" w:ascii="Times New Roman" w:hAnsi="Times New Roman" w:cs="Times New Roman"/>
          <w:spacing w:val="-3"/>
          <w:sz w:val="24"/>
          <w:szCs w:val="24"/>
          <w:lang w:val="en-US" w:eastAsia="zh-CN"/>
        </w:rPr>
        <w:t xml:space="preserve">  </w:t>
      </w:r>
      <w:r>
        <w:rPr>
          <w:rFonts w:hint="default" w:ascii="Times New Roman" w:hAnsi="Times New Roman" w:cs="Times New Roman"/>
          <w:spacing w:val="-3"/>
          <w:sz w:val="24"/>
          <w:szCs w:val="24"/>
        </w:rPr>
        <w:t>钢平台临边应设置封闭式防护围挡，围挡高度不应低于</w:t>
      </w:r>
      <w:r>
        <w:rPr>
          <w:rFonts w:hint="default" w:ascii="Times New Roman" w:hAnsi="Times New Roman" w:cs="Times New Roman"/>
          <w:spacing w:val="-3"/>
          <w:sz w:val="24"/>
          <w:szCs w:val="24"/>
          <w:lang w:val="en-US" w:eastAsia="zh-CN"/>
        </w:rPr>
        <w:t>1.5</w:t>
      </w:r>
      <w:r>
        <w:rPr>
          <w:rFonts w:hint="default" w:ascii="Times New Roman" w:hAnsi="Times New Roman" w:eastAsia="Times New Roman" w:cs="Times New Roman"/>
          <w:spacing w:val="-5"/>
          <w:sz w:val="24"/>
          <w:szCs w:val="24"/>
        </w:rPr>
        <w:t>m</w:t>
      </w:r>
      <w:r>
        <w:rPr>
          <w:rFonts w:hint="default" w:ascii="Times New Roman" w:hAnsi="Times New Roman" w:cs="Times New Roman"/>
          <w:spacing w:val="-5"/>
          <w:sz w:val="24"/>
          <w:szCs w:val="24"/>
        </w:rPr>
        <w:t>；</w:t>
      </w:r>
    </w:p>
    <w:p w14:paraId="29AEA503">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ind w:right="805" w:rightChars="0" w:firstLine="462" w:firstLineChars="200"/>
        <w:jc w:val="left"/>
        <w:textAlignment w:val="auto"/>
        <w:rPr>
          <w:rFonts w:ascii="Times New Roman" w:eastAsia="Times New Roman"/>
          <w:sz w:val="24"/>
          <w:szCs w:val="24"/>
        </w:rPr>
      </w:pPr>
      <w:r>
        <w:rPr>
          <w:rFonts w:hint="default" w:ascii="Times New Roman" w:hAnsi="Times New Roman" w:cs="Times New Roman"/>
          <w:b/>
          <w:bCs/>
          <w:spacing w:val="-5"/>
          <w:sz w:val="24"/>
          <w:szCs w:val="24"/>
          <w:lang w:val="en-US" w:eastAsia="zh-CN"/>
        </w:rPr>
        <w:t>4</w:t>
      </w:r>
      <w:r>
        <w:rPr>
          <w:rFonts w:hint="default" w:ascii="Times New Roman" w:hAnsi="Times New Roman" w:cs="Times New Roman"/>
          <w:spacing w:val="-5"/>
          <w:sz w:val="24"/>
          <w:szCs w:val="24"/>
          <w:lang w:val="en-US" w:eastAsia="zh-CN"/>
        </w:rPr>
        <w:t xml:space="preserve"> </w:t>
      </w:r>
      <w:r>
        <w:rPr>
          <w:rFonts w:hint="eastAsia"/>
          <w:spacing w:val="-5"/>
          <w:sz w:val="24"/>
          <w:szCs w:val="24"/>
          <w:lang w:val="en-US" w:eastAsia="zh-CN"/>
        </w:rPr>
        <w:t xml:space="preserve"> </w:t>
      </w:r>
      <w:r>
        <w:rPr>
          <w:spacing w:val="-5"/>
          <w:sz w:val="24"/>
          <w:szCs w:val="24"/>
        </w:rPr>
        <w:t>钢平台洞口周边应设置防护栏杆和踢脚板，栏杆高度不应低于</w:t>
      </w:r>
      <w:r>
        <w:rPr>
          <w:rFonts w:ascii="Times New Roman" w:eastAsia="Times New Roman"/>
          <w:spacing w:val="-2"/>
          <w:sz w:val="24"/>
          <w:szCs w:val="24"/>
        </w:rPr>
        <w:t>1.2m</w:t>
      </w:r>
      <w:r>
        <w:rPr>
          <w:spacing w:val="-2"/>
          <w:sz w:val="24"/>
          <w:szCs w:val="24"/>
        </w:rPr>
        <w:t>，踢</w:t>
      </w:r>
      <w:r>
        <w:rPr>
          <w:spacing w:val="-5"/>
          <w:sz w:val="24"/>
          <w:szCs w:val="24"/>
        </w:rPr>
        <w:t>脚板高度不应低于</w:t>
      </w:r>
      <w:r>
        <w:rPr>
          <w:rFonts w:ascii="Times New Roman" w:eastAsia="Times New Roman"/>
          <w:sz w:val="24"/>
          <w:szCs w:val="24"/>
        </w:rPr>
        <w:t>0.3m</w:t>
      </w:r>
      <w:r>
        <w:rPr>
          <w:sz w:val="24"/>
          <w:szCs w:val="24"/>
        </w:rPr>
        <w:t>。</w:t>
      </w:r>
    </w:p>
    <w:p w14:paraId="03BD9538">
      <w:pPr>
        <w:tabs>
          <w:tab w:val="left" w:pos="960"/>
        </w:tabs>
        <w:autoSpaceDE w:val="0"/>
        <w:autoSpaceDN w:val="0"/>
        <w:spacing w:before="156" w:line="240" w:lineRule="auto"/>
        <w:jc w:val="left"/>
        <w:rPr>
          <w:rFonts w:eastAsia="Times New Roman"/>
          <w:b/>
          <w:sz w:val="24"/>
          <w:szCs w:val="24"/>
        </w:rPr>
      </w:pPr>
      <w:r>
        <w:rPr>
          <w:rFonts w:hint="eastAsia"/>
          <w:b/>
          <w:bCs/>
          <w:sz w:val="24"/>
          <w:szCs w:val="24"/>
        </w:rPr>
        <w:t>5</w:t>
      </w:r>
      <w:r>
        <w:rPr>
          <w:b/>
          <w:bCs/>
          <w:sz w:val="24"/>
          <w:szCs w:val="24"/>
        </w:rPr>
        <w:t>.3.</w:t>
      </w:r>
      <w:r>
        <w:rPr>
          <w:rFonts w:hint="eastAsia"/>
          <w:b/>
          <w:bCs/>
          <w:sz w:val="24"/>
          <w:szCs w:val="24"/>
          <w:lang w:val="en-US" w:eastAsia="zh-CN"/>
        </w:rPr>
        <w:t>5</w:t>
      </w:r>
      <w:r>
        <w:rPr>
          <w:rFonts w:hint="eastAsia"/>
          <w:sz w:val="24"/>
          <w:szCs w:val="24"/>
        </w:rPr>
        <w:t xml:space="preserve">  </w:t>
      </w:r>
      <w:bookmarkEnd w:id="90"/>
      <w:r>
        <w:rPr>
          <w:spacing w:val="-1"/>
          <w:sz w:val="24"/>
          <w:szCs w:val="24"/>
        </w:rPr>
        <w:t>集成平台结构设计应符合下列规定：</w:t>
      </w:r>
    </w:p>
    <w:p w14:paraId="7AEF1374">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ind w:right="805" w:rightChars="0" w:firstLine="462" w:firstLineChars="200"/>
        <w:jc w:val="left"/>
        <w:textAlignment w:val="auto"/>
        <w:rPr>
          <w:rFonts w:hint="default" w:ascii="Times New Roman" w:hAnsi="Times New Roman" w:cs="Times New Roman"/>
          <w:spacing w:val="-5"/>
          <w:sz w:val="24"/>
          <w:szCs w:val="24"/>
        </w:rPr>
      </w:pPr>
      <w:r>
        <w:rPr>
          <w:rFonts w:hint="default" w:ascii="Times New Roman" w:hAnsi="Times New Roman" w:cs="Times New Roman"/>
          <w:b/>
          <w:bCs/>
          <w:spacing w:val="-5"/>
          <w:sz w:val="24"/>
          <w:szCs w:val="24"/>
          <w:lang w:val="en-US" w:eastAsia="zh-CN"/>
        </w:rPr>
        <w:t>1</w:t>
      </w:r>
      <w:r>
        <w:rPr>
          <w:rFonts w:hint="default" w:ascii="Times New Roman" w:hAnsi="Times New Roman" w:cs="Times New Roman"/>
          <w:spacing w:val="-5"/>
          <w:sz w:val="24"/>
          <w:szCs w:val="24"/>
          <w:lang w:val="en-US" w:eastAsia="zh-CN"/>
        </w:rPr>
        <w:t xml:space="preserve">  </w:t>
      </w:r>
      <w:r>
        <w:rPr>
          <w:rFonts w:hint="default" w:ascii="Times New Roman" w:hAnsi="Times New Roman" w:cs="Times New Roman"/>
          <w:spacing w:val="-5"/>
          <w:sz w:val="24"/>
          <w:szCs w:val="24"/>
        </w:rPr>
        <w:t>结构设计宜考虑地震作用，地震作用计算与构件截面抗震验算应符合现行国家标准《建筑抗震设计标准》GB /T 50011 的有关规定。</w:t>
      </w:r>
    </w:p>
    <w:p w14:paraId="410D55CE">
      <w:pPr>
        <w:pStyle w:val="46"/>
        <w:keepNext w:val="0"/>
        <w:keepLines w:val="0"/>
        <w:pageBreakBefore w:val="0"/>
        <w:widowControl w:val="0"/>
        <w:numPr>
          <w:ilvl w:val="0"/>
          <w:numId w:val="0"/>
        </w:numPr>
        <w:tabs>
          <w:tab w:val="left" w:pos="1080"/>
        </w:tabs>
        <w:kinsoku/>
        <w:wordWrap/>
        <w:overflowPunct/>
        <w:topLinePunct w:val="0"/>
        <w:autoSpaceDE w:val="0"/>
        <w:autoSpaceDN w:val="0"/>
        <w:bidi w:val="0"/>
        <w:adjustRightInd/>
        <w:snapToGrid/>
        <w:spacing w:before="156"/>
        <w:ind w:right="805" w:rightChars="0" w:firstLine="462" w:firstLineChars="200"/>
        <w:jc w:val="left"/>
        <w:textAlignment w:val="auto"/>
        <w:rPr>
          <w:rFonts w:hint="default" w:ascii="Times New Roman" w:hAnsi="Times New Roman" w:cs="Times New Roman"/>
          <w:spacing w:val="-5"/>
          <w:sz w:val="24"/>
          <w:szCs w:val="24"/>
        </w:rPr>
      </w:pPr>
      <w:r>
        <w:rPr>
          <w:rFonts w:hint="default" w:ascii="Times New Roman" w:hAnsi="Times New Roman" w:cs="Times New Roman"/>
          <w:b/>
          <w:bCs/>
          <w:spacing w:val="-5"/>
          <w:sz w:val="24"/>
          <w:szCs w:val="24"/>
          <w:lang w:val="en-US" w:eastAsia="zh-CN"/>
        </w:rPr>
        <w:t>2</w:t>
      </w:r>
      <w:r>
        <w:rPr>
          <w:rFonts w:hint="default" w:ascii="Times New Roman" w:hAnsi="Times New Roman" w:cs="Times New Roman"/>
          <w:spacing w:val="-5"/>
          <w:sz w:val="24"/>
          <w:szCs w:val="24"/>
          <w:lang w:val="en-US" w:eastAsia="zh-CN"/>
        </w:rPr>
        <w:t xml:space="preserve">  </w:t>
      </w:r>
      <w:r>
        <w:rPr>
          <w:rFonts w:hint="default" w:ascii="Times New Roman" w:hAnsi="Times New Roman" w:cs="Times New Roman"/>
          <w:spacing w:val="-5"/>
          <w:sz w:val="24"/>
          <w:szCs w:val="24"/>
        </w:rPr>
        <w:t>结构构件变形容许值，应按表5.3.</w:t>
      </w:r>
      <w:r>
        <w:rPr>
          <w:rFonts w:hint="eastAsia" w:ascii="Times New Roman" w:hAnsi="Times New Roman" w:cs="Times New Roman"/>
          <w:spacing w:val="-5"/>
          <w:sz w:val="24"/>
          <w:szCs w:val="24"/>
          <w:lang w:val="en-US" w:eastAsia="zh-CN"/>
        </w:rPr>
        <w:t>5</w:t>
      </w:r>
      <w:r>
        <w:rPr>
          <w:rFonts w:hint="default" w:ascii="Times New Roman" w:hAnsi="Times New Roman" w:cs="Times New Roman"/>
          <w:spacing w:val="-5"/>
          <w:sz w:val="24"/>
          <w:szCs w:val="24"/>
        </w:rPr>
        <w:t>采用。</w:t>
      </w:r>
    </w:p>
    <w:p w14:paraId="7FDC5353">
      <w:pPr>
        <w:tabs>
          <w:tab w:val="left" w:pos="3896"/>
        </w:tabs>
        <w:spacing w:before="174"/>
        <w:ind w:left="3003"/>
        <w:rPr>
          <w:rFonts w:hint="eastAsia" w:ascii="Arial" w:hAnsi="Arial" w:eastAsia="黑体" w:cs="Arial"/>
          <w:b w:val="0"/>
          <w:bCs/>
          <w:spacing w:val="-4"/>
          <w:sz w:val="20"/>
          <w:szCs w:val="20"/>
        </w:rPr>
      </w:pPr>
      <w:r>
        <w:rPr>
          <w:rFonts w:hint="default" w:ascii="Arial" w:hAnsi="Arial" w:eastAsia="黑体" w:cs="Arial"/>
          <w:b w:val="0"/>
          <w:bCs/>
          <w:spacing w:val="-4"/>
          <w:sz w:val="20"/>
          <w:szCs w:val="20"/>
        </w:rPr>
        <w:t>表 5.</w:t>
      </w:r>
      <w:r>
        <w:rPr>
          <w:rFonts w:hint="eastAsia" w:ascii="Arial" w:hAnsi="Arial" w:eastAsia="黑体" w:cs="Arial"/>
          <w:b w:val="0"/>
          <w:bCs/>
          <w:spacing w:val="-4"/>
          <w:sz w:val="20"/>
          <w:szCs w:val="20"/>
        </w:rPr>
        <w:t>3</w:t>
      </w:r>
      <w:r>
        <w:rPr>
          <w:rFonts w:hint="default" w:ascii="Arial" w:hAnsi="Arial" w:eastAsia="黑体" w:cs="Arial"/>
          <w:b w:val="0"/>
          <w:bCs/>
          <w:spacing w:val="-4"/>
          <w:sz w:val="20"/>
          <w:szCs w:val="20"/>
        </w:rPr>
        <w:t>.</w:t>
      </w:r>
      <w:r>
        <w:rPr>
          <w:rFonts w:hint="eastAsia" w:ascii="Arial" w:hAnsi="Arial" w:eastAsia="黑体" w:cs="Arial"/>
          <w:b w:val="0"/>
          <w:bCs/>
          <w:spacing w:val="-4"/>
          <w:sz w:val="20"/>
          <w:szCs w:val="20"/>
          <w:lang w:val="en-US" w:eastAsia="zh-CN"/>
        </w:rPr>
        <w:t>5</w:t>
      </w:r>
      <w:r>
        <w:rPr>
          <w:rFonts w:hint="eastAsia" w:ascii="Arial" w:hAnsi="Arial" w:eastAsia="黑体" w:cs="Arial"/>
          <w:b w:val="0"/>
          <w:bCs/>
          <w:spacing w:val="-4"/>
          <w:sz w:val="20"/>
          <w:szCs w:val="20"/>
        </w:rPr>
        <w:t xml:space="preserve">  </w:t>
      </w:r>
      <w:r>
        <w:rPr>
          <w:rFonts w:hint="default" w:ascii="Arial" w:hAnsi="Arial" w:eastAsia="黑体" w:cs="Arial"/>
          <w:b w:val="0"/>
          <w:bCs/>
          <w:spacing w:val="-4"/>
          <w:sz w:val="20"/>
          <w:szCs w:val="20"/>
        </w:rPr>
        <w:t>构件变形容许值</w:t>
      </w:r>
    </w:p>
    <w:tbl>
      <w:tblPr>
        <w:tblStyle w:val="6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02"/>
        <w:gridCol w:w="4389"/>
      </w:tblGrid>
      <w:tr w14:paraId="4577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trPr>
        <w:tc>
          <w:tcPr>
            <w:tcW w:w="2559" w:type="pct"/>
          </w:tcPr>
          <w:p w14:paraId="4275A6CA">
            <w:pPr>
              <w:pStyle w:val="67"/>
              <w:spacing w:before="95"/>
              <w:ind w:left="20"/>
              <w:jc w:val="center"/>
              <w:rPr>
                <w:rFonts w:hint="default" w:ascii="Times New Roman" w:hAnsi="Times New Roman" w:eastAsia="黑体" w:cs="Times New Roman"/>
                <w:b w:val="0"/>
                <w:bCs w:val="0"/>
                <w:sz w:val="21"/>
                <w:szCs w:val="21"/>
              </w:rPr>
            </w:pPr>
            <w:r>
              <w:rPr>
                <w:rFonts w:hint="default" w:ascii="Times New Roman" w:hAnsi="Times New Roman" w:eastAsia="黑体" w:cs="Times New Roman"/>
                <w:b w:val="0"/>
                <w:bCs w:val="0"/>
                <w:spacing w:val="-7"/>
                <w:sz w:val="21"/>
                <w:szCs w:val="21"/>
              </w:rPr>
              <w:t>构件类别</w:t>
            </w:r>
          </w:p>
        </w:tc>
        <w:tc>
          <w:tcPr>
            <w:tcW w:w="2440" w:type="pct"/>
          </w:tcPr>
          <w:p w14:paraId="368C752A">
            <w:pPr>
              <w:pStyle w:val="67"/>
              <w:spacing w:before="88"/>
              <w:ind w:left="36" w:right="1"/>
              <w:jc w:val="center"/>
              <w:rPr>
                <w:rFonts w:hint="default" w:ascii="Times New Roman" w:hAnsi="Times New Roman" w:eastAsia="黑体" w:cs="Times New Roman"/>
                <w:b w:val="0"/>
                <w:bCs w:val="0"/>
                <w:sz w:val="21"/>
                <w:szCs w:val="21"/>
              </w:rPr>
            </w:pPr>
            <w:r>
              <w:rPr>
                <w:rFonts w:hint="default" w:ascii="Times New Roman" w:hAnsi="Times New Roman" w:eastAsia="黑体" w:cs="Times New Roman"/>
                <w:b w:val="0"/>
                <w:bCs w:val="0"/>
                <w:spacing w:val="-4"/>
                <w:sz w:val="21"/>
                <w:szCs w:val="21"/>
              </w:rPr>
              <w:t>容许值</w:t>
            </w:r>
            <w:r>
              <w:rPr>
                <w:rFonts w:hint="default" w:ascii="Times New Roman" w:hAnsi="Times New Roman" w:eastAsia="黑体" w:cs="Times New Roman"/>
                <w:b w:val="0"/>
                <w:bCs w:val="0"/>
                <w:spacing w:val="-5"/>
                <w:sz w:val="21"/>
                <w:szCs w:val="21"/>
              </w:rPr>
              <w:t>[v]</w:t>
            </w:r>
          </w:p>
        </w:tc>
      </w:tr>
      <w:tr w14:paraId="0324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2559" w:type="pct"/>
          </w:tcPr>
          <w:p w14:paraId="1A683C0A">
            <w:pPr>
              <w:pStyle w:val="67"/>
              <w:spacing w:before="94"/>
              <w:ind w:left="20"/>
              <w:jc w:val="center"/>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钢平台中间跨挠度</w:t>
            </w:r>
          </w:p>
        </w:tc>
        <w:tc>
          <w:tcPr>
            <w:tcW w:w="2440" w:type="pct"/>
          </w:tcPr>
          <w:p w14:paraId="2BD41B35">
            <w:pPr>
              <w:pStyle w:val="67"/>
              <w:spacing w:before="109"/>
              <w:ind w:left="36"/>
              <w:jc w:val="center"/>
              <w:rPr>
                <w:rFonts w:hint="default" w:ascii="Times New Roman" w:hAnsi="Times New Roman" w:eastAsia="宋体" w:cs="Times New Roman"/>
                <w:sz w:val="21"/>
                <w:szCs w:val="21"/>
              </w:rPr>
            </w:pPr>
            <w:r>
              <w:rPr>
                <w:rFonts w:hint="default" w:ascii="Times New Roman" w:hAnsi="Times New Roman" w:eastAsia="宋体" w:cs="Times New Roman"/>
                <w:spacing w:val="-2"/>
                <w:w w:val="105"/>
                <w:sz w:val="21"/>
                <w:szCs w:val="21"/>
              </w:rPr>
              <w:t>l</w:t>
            </w:r>
            <w:r>
              <w:rPr>
                <w:rFonts w:hint="default" w:ascii="Times New Roman" w:hAnsi="Times New Roman" w:eastAsia="宋体" w:cs="Times New Roman"/>
                <w:spacing w:val="-2"/>
                <w:w w:val="105"/>
                <w:sz w:val="21"/>
                <w:szCs w:val="21"/>
                <w:vertAlign w:val="subscript"/>
              </w:rPr>
              <w:t>1</w:t>
            </w:r>
            <w:r>
              <w:rPr>
                <w:rFonts w:hint="default" w:ascii="Times New Roman" w:hAnsi="Times New Roman" w:eastAsia="宋体" w:cs="Times New Roman"/>
                <w:spacing w:val="-2"/>
                <w:w w:val="105"/>
                <w:sz w:val="21"/>
                <w:szCs w:val="21"/>
              </w:rPr>
              <w:t>/200</w:t>
            </w:r>
          </w:p>
        </w:tc>
      </w:tr>
      <w:tr w14:paraId="7B27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2559" w:type="pct"/>
          </w:tcPr>
          <w:p w14:paraId="2DA8A2DC">
            <w:pPr>
              <w:pStyle w:val="67"/>
              <w:spacing w:before="94"/>
              <w:ind w:left="20" w:right="3"/>
              <w:jc w:val="center"/>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钢平台边跨挠度</w:t>
            </w:r>
          </w:p>
        </w:tc>
        <w:tc>
          <w:tcPr>
            <w:tcW w:w="2440" w:type="pct"/>
          </w:tcPr>
          <w:p w14:paraId="397C9330">
            <w:pPr>
              <w:pStyle w:val="67"/>
              <w:spacing w:before="108"/>
              <w:ind w:left="36"/>
              <w:jc w:val="center"/>
              <w:rPr>
                <w:rFonts w:hint="default" w:ascii="Times New Roman" w:hAnsi="Times New Roman" w:eastAsia="宋体" w:cs="Times New Roman"/>
                <w:sz w:val="21"/>
                <w:szCs w:val="21"/>
              </w:rPr>
            </w:pPr>
            <w:r>
              <w:rPr>
                <w:rFonts w:hint="default" w:ascii="Times New Roman" w:hAnsi="Times New Roman" w:eastAsia="宋体" w:cs="Times New Roman"/>
                <w:spacing w:val="-2"/>
                <w:w w:val="105"/>
                <w:sz w:val="21"/>
                <w:szCs w:val="21"/>
              </w:rPr>
              <w:t>l</w:t>
            </w:r>
            <w:r>
              <w:rPr>
                <w:rFonts w:hint="default" w:ascii="Times New Roman" w:hAnsi="Times New Roman" w:eastAsia="宋体" w:cs="Times New Roman"/>
                <w:spacing w:val="-2"/>
                <w:w w:val="105"/>
                <w:sz w:val="21"/>
                <w:szCs w:val="21"/>
                <w:vertAlign w:val="subscript"/>
              </w:rPr>
              <w:t>2</w:t>
            </w:r>
            <w:r>
              <w:rPr>
                <w:rFonts w:hint="default" w:ascii="Times New Roman" w:hAnsi="Times New Roman" w:eastAsia="宋体" w:cs="Times New Roman"/>
                <w:spacing w:val="-2"/>
                <w:w w:val="105"/>
                <w:sz w:val="21"/>
                <w:szCs w:val="21"/>
              </w:rPr>
              <w:t>/150</w:t>
            </w:r>
          </w:p>
        </w:tc>
      </w:tr>
      <w:tr w14:paraId="3D3F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2559" w:type="pct"/>
          </w:tcPr>
          <w:p w14:paraId="18E8B2BE">
            <w:pPr>
              <w:pStyle w:val="67"/>
              <w:spacing w:before="94"/>
              <w:ind w:left="20" w:right="3"/>
              <w:jc w:val="center"/>
              <w:rPr>
                <w:rFonts w:hint="default" w:ascii="Times New Roman" w:hAnsi="Times New Roman" w:eastAsia="宋体" w:cs="Times New Roman"/>
                <w:spacing w:val="-4"/>
                <w:sz w:val="21"/>
                <w:szCs w:val="21"/>
              </w:rPr>
            </w:pPr>
            <w:r>
              <w:rPr>
                <w:rFonts w:hint="default" w:ascii="Times New Roman" w:hAnsi="Times New Roman" w:eastAsia="宋体" w:cs="Times New Roman"/>
                <w:spacing w:val="-3"/>
                <w:sz w:val="21"/>
                <w:szCs w:val="21"/>
              </w:rPr>
              <w:t>钢平台顶部水平位移</w:t>
            </w:r>
          </w:p>
        </w:tc>
        <w:tc>
          <w:tcPr>
            <w:tcW w:w="2440" w:type="pct"/>
          </w:tcPr>
          <w:p w14:paraId="321DD348">
            <w:pPr>
              <w:pStyle w:val="67"/>
              <w:spacing w:before="108"/>
              <w:ind w:left="36"/>
              <w:jc w:val="center"/>
              <w:rPr>
                <w:rFonts w:hint="default" w:ascii="Times New Roman" w:hAnsi="Times New Roman" w:eastAsia="宋体" w:cs="Times New Roman"/>
                <w:spacing w:val="-2"/>
                <w:w w:val="105"/>
                <w:sz w:val="21"/>
                <w:szCs w:val="21"/>
              </w:rPr>
            </w:pPr>
            <w:r>
              <w:rPr>
                <w:rFonts w:hint="default" w:ascii="Times New Roman" w:hAnsi="Times New Roman" w:eastAsia="宋体" w:cs="Times New Roman"/>
                <w:spacing w:val="-2"/>
                <w:w w:val="105"/>
                <w:sz w:val="21"/>
                <w:szCs w:val="21"/>
              </w:rPr>
              <w:t>l</w:t>
            </w:r>
            <w:r>
              <w:rPr>
                <w:rFonts w:hint="default" w:ascii="Times New Roman" w:hAnsi="Times New Roman" w:eastAsia="宋体" w:cs="Times New Roman"/>
                <w:spacing w:val="-2"/>
                <w:w w:val="105"/>
                <w:sz w:val="21"/>
                <w:szCs w:val="21"/>
                <w:vertAlign w:val="subscript"/>
              </w:rPr>
              <w:t>3</w:t>
            </w:r>
            <w:r>
              <w:rPr>
                <w:rFonts w:hint="default" w:ascii="Times New Roman" w:hAnsi="Times New Roman" w:eastAsia="宋体" w:cs="Times New Roman"/>
                <w:spacing w:val="-2"/>
                <w:w w:val="105"/>
                <w:sz w:val="21"/>
                <w:szCs w:val="21"/>
              </w:rPr>
              <w:t>/250</w:t>
            </w:r>
          </w:p>
        </w:tc>
      </w:tr>
    </w:tbl>
    <w:p w14:paraId="66B1974E">
      <w:pPr>
        <w:keepNext w:val="0"/>
        <w:keepLines w:val="0"/>
        <w:pageBreakBefore w:val="0"/>
        <w:widowControl w:val="0"/>
        <w:kinsoku/>
        <w:wordWrap/>
        <w:overflowPunct/>
        <w:topLinePunct w:val="0"/>
        <w:bidi w:val="0"/>
        <w:adjustRightInd/>
        <w:snapToGrid/>
        <w:spacing w:before="96" w:line="240" w:lineRule="auto"/>
        <w:ind w:right="803" w:firstLine="404" w:firstLineChars="200"/>
        <w:textAlignment w:val="auto"/>
        <w:rPr>
          <w:rFonts w:hint="default" w:ascii="Times New Roman" w:hAnsi="Times New Roman" w:eastAsia="宋体" w:cs="Times New Roman"/>
          <w:spacing w:val="-4"/>
          <w:sz w:val="21"/>
          <w:szCs w:val="21"/>
        </w:rPr>
      </w:pPr>
      <w:r>
        <w:rPr>
          <w:rFonts w:hint="default" w:ascii="Times New Roman" w:hAnsi="Times New Roman" w:eastAsia="宋体" w:cs="Times New Roman"/>
          <w:spacing w:val="-4"/>
          <w:sz w:val="21"/>
          <w:szCs w:val="21"/>
        </w:rPr>
        <w:t>注：</w:t>
      </w:r>
    </w:p>
    <w:p w14:paraId="52DE1B1D">
      <w:pPr>
        <w:keepNext w:val="0"/>
        <w:keepLines w:val="0"/>
        <w:pageBreakBefore w:val="0"/>
        <w:widowControl w:val="0"/>
        <w:kinsoku/>
        <w:wordWrap/>
        <w:overflowPunct/>
        <w:topLinePunct w:val="0"/>
        <w:bidi w:val="0"/>
        <w:adjustRightInd/>
        <w:snapToGrid/>
        <w:spacing w:before="96" w:line="240" w:lineRule="auto"/>
        <w:ind w:right="803" w:firstLine="404"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1</w:t>
      </w:r>
      <w:r>
        <w:rPr>
          <w:rFonts w:hint="eastAsia" w:cs="Times New Roman"/>
          <w:spacing w:val="-4"/>
          <w:sz w:val="21"/>
          <w:szCs w:val="21"/>
          <w:lang w:val="en-US" w:eastAsia="zh-CN"/>
        </w:rPr>
        <w:t xml:space="preserve">  </w:t>
      </w:r>
      <w:r>
        <w:rPr>
          <w:rFonts w:hint="default" w:ascii="Times New Roman" w:hAnsi="Times New Roman" w:eastAsia="宋体" w:cs="Times New Roman"/>
          <w:sz w:val="21"/>
          <w:szCs w:val="21"/>
        </w:rPr>
        <w:t>当集成平台顶部水平位移超过l</w:t>
      </w:r>
      <w:r>
        <w:rPr>
          <w:rFonts w:hint="default" w:ascii="Times New Roman" w:hAnsi="Times New Roman" w:eastAsia="宋体" w:cs="Times New Roman"/>
          <w:sz w:val="21"/>
          <w:szCs w:val="21"/>
          <w:vertAlign w:val="subscript"/>
        </w:rPr>
        <w:t>3</w:t>
      </w:r>
      <w:r>
        <w:rPr>
          <w:rFonts w:hint="default" w:ascii="Times New Roman" w:hAnsi="Times New Roman" w:eastAsia="宋体" w:cs="Times New Roman"/>
          <w:sz w:val="21"/>
          <w:szCs w:val="21"/>
        </w:rPr>
        <w:t>/250</w:t>
      </w:r>
      <w:r>
        <w:rPr>
          <w:rFonts w:hint="default" w:ascii="Times New Roman" w:hAnsi="Times New Roman" w:eastAsia="宋体" w:cs="Times New Roman"/>
          <w:spacing w:val="-11"/>
          <w:sz w:val="21"/>
          <w:szCs w:val="21"/>
        </w:rPr>
        <w:t xml:space="preserve"> </w:t>
      </w:r>
      <w:r>
        <w:rPr>
          <w:rFonts w:hint="default" w:ascii="Times New Roman" w:hAnsi="Times New Roman" w:eastAsia="宋体" w:cs="Times New Roman"/>
          <w:sz w:val="21"/>
          <w:szCs w:val="21"/>
        </w:rPr>
        <w:t>时，应进行二阶</w:t>
      </w:r>
      <w:r>
        <w:rPr>
          <w:rFonts w:hint="default" w:ascii="Times New Roman" w:hAnsi="Times New Roman" w:eastAsia="宋体" w:cs="Times New Roman"/>
          <w:spacing w:val="-50"/>
          <w:sz w:val="21"/>
          <w:szCs w:val="21"/>
        </w:rPr>
        <w:t xml:space="preserve"> </w:t>
      </w:r>
      <w:r>
        <w:rPr>
          <w:rFonts w:hint="default" w:ascii="Times New Roman" w:hAnsi="Times New Roman" w:eastAsia="宋体" w:cs="Times New Roman"/>
          <w:i/>
          <w:sz w:val="21"/>
          <w:szCs w:val="21"/>
        </w:rPr>
        <w:t>P-Δ</w:t>
      </w:r>
      <w:r>
        <w:rPr>
          <w:rFonts w:hint="default" w:ascii="Times New Roman" w:hAnsi="Times New Roman" w:eastAsia="宋体" w:cs="Times New Roman"/>
          <w:sz w:val="21"/>
          <w:szCs w:val="21"/>
        </w:rPr>
        <w:t>弹性分析</w:t>
      </w:r>
      <w:r>
        <w:rPr>
          <w:rFonts w:hint="eastAsia" w:cs="Times New Roman"/>
          <w:sz w:val="21"/>
          <w:szCs w:val="21"/>
          <w:lang w:eastAsia="zh-CN"/>
        </w:rPr>
        <w:t>，</w:t>
      </w:r>
      <w:r>
        <w:rPr>
          <w:rFonts w:hint="default" w:ascii="Times New Roman" w:hAnsi="Times New Roman" w:eastAsia="宋体" w:cs="Times New Roman"/>
          <w:sz w:val="21"/>
          <w:szCs w:val="21"/>
        </w:rPr>
        <w:t>具体分析方法应符合现行国家标准《钢结构设计标准》GB50017 的有关规定。</w:t>
      </w:r>
    </w:p>
    <w:p w14:paraId="2DC2FEC1">
      <w:pPr>
        <w:keepNext w:val="0"/>
        <w:keepLines w:val="0"/>
        <w:pageBreakBefore w:val="0"/>
        <w:widowControl w:val="0"/>
        <w:tabs>
          <w:tab w:val="left" w:pos="1186"/>
        </w:tabs>
        <w:kinsoku/>
        <w:wordWrap/>
        <w:overflowPunct/>
        <w:topLinePunct w:val="0"/>
        <w:autoSpaceDE w:val="0"/>
        <w:autoSpaceDN w:val="0"/>
        <w:bidi w:val="0"/>
        <w:adjustRightInd/>
        <w:snapToGrid/>
        <w:spacing w:before="2" w:line="240" w:lineRule="auto"/>
        <w:ind w:firstLine="412" w:firstLineChars="200"/>
        <w:textAlignment w:val="auto"/>
        <w:rPr>
          <w:rFonts w:hint="default" w:ascii="Times New Roman" w:hAnsi="Times New Roman" w:eastAsia="宋体" w:cs="Times New Roman"/>
          <w:spacing w:val="-3"/>
          <w:sz w:val="21"/>
          <w:szCs w:val="21"/>
        </w:rPr>
      </w:pPr>
      <w:r>
        <w:rPr>
          <w:rFonts w:hint="default" w:ascii="Times New Roman" w:hAnsi="Times New Roman" w:eastAsia="宋体" w:cs="Times New Roman"/>
          <w:spacing w:val="-2"/>
          <w:sz w:val="21"/>
          <w:szCs w:val="21"/>
        </w:rPr>
        <w:t>2</w:t>
      </w:r>
      <w:r>
        <w:rPr>
          <w:rFonts w:hint="eastAsia" w:cs="Times New Roman"/>
          <w:spacing w:val="-2"/>
          <w:sz w:val="21"/>
          <w:szCs w:val="21"/>
          <w:lang w:val="en-US" w:eastAsia="zh-CN"/>
        </w:rPr>
        <w:t xml:space="preserve">  </w:t>
      </w:r>
      <w:r>
        <w:rPr>
          <w:rFonts w:hint="default" w:ascii="Times New Roman" w:hAnsi="Times New Roman" w:eastAsia="宋体" w:cs="Times New Roman"/>
          <w:spacing w:val="-2"/>
          <w:sz w:val="21"/>
          <w:szCs w:val="21"/>
        </w:rPr>
        <w:t>l</w:t>
      </w:r>
      <w:r>
        <w:rPr>
          <w:rFonts w:hint="default" w:ascii="Times New Roman" w:hAnsi="Times New Roman" w:eastAsia="宋体" w:cs="Times New Roman"/>
          <w:spacing w:val="-2"/>
          <w:sz w:val="21"/>
          <w:szCs w:val="21"/>
          <w:vertAlign w:val="subscript"/>
        </w:rPr>
        <w:t>1</w:t>
      </w:r>
      <w:r>
        <w:rPr>
          <w:rFonts w:hint="default" w:ascii="Times New Roman" w:hAnsi="Times New Roman" w:eastAsia="宋体" w:cs="Times New Roman"/>
          <w:spacing w:val="-3"/>
          <w:sz w:val="21"/>
          <w:szCs w:val="21"/>
        </w:rPr>
        <w:t>为支承立柱形心间的距离。</w:t>
      </w:r>
    </w:p>
    <w:p w14:paraId="2CB3F613">
      <w:pPr>
        <w:keepNext w:val="0"/>
        <w:keepLines w:val="0"/>
        <w:pageBreakBefore w:val="0"/>
        <w:widowControl w:val="0"/>
        <w:tabs>
          <w:tab w:val="left" w:pos="1186"/>
        </w:tabs>
        <w:kinsoku/>
        <w:wordWrap/>
        <w:overflowPunct/>
        <w:topLinePunct w:val="0"/>
        <w:autoSpaceDE w:val="0"/>
        <w:autoSpaceDN w:val="0"/>
        <w:bidi w:val="0"/>
        <w:adjustRightInd/>
        <w:snapToGrid/>
        <w:spacing w:before="2" w:line="240" w:lineRule="auto"/>
        <w:ind w:firstLine="412" w:firstLineChars="200"/>
        <w:textAlignment w:val="auto"/>
        <w:rPr>
          <w:rFonts w:hint="default" w:ascii="Times New Roman" w:hAnsi="Times New Roman" w:eastAsia="宋体" w:cs="Times New Roman"/>
          <w:spacing w:val="-3"/>
          <w:sz w:val="21"/>
          <w:szCs w:val="21"/>
          <w:lang w:eastAsia="zh-CN"/>
        </w:rPr>
      </w:pPr>
      <w:r>
        <w:rPr>
          <w:rFonts w:hint="default" w:ascii="Times New Roman" w:hAnsi="Times New Roman" w:eastAsia="宋体" w:cs="Times New Roman"/>
          <w:spacing w:val="-2"/>
          <w:sz w:val="21"/>
          <w:szCs w:val="21"/>
        </w:rPr>
        <w:t>3</w:t>
      </w:r>
      <w:r>
        <w:rPr>
          <w:rFonts w:hint="eastAsia" w:cs="Times New Roman"/>
          <w:spacing w:val="-2"/>
          <w:sz w:val="21"/>
          <w:szCs w:val="21"/>
          <w:lang w:val="en-US" w:eastAsia="zh-CN"/>
        </w:rPr>
        <w:t xml:space="preserve">  </w:t>
      </w:r>
      <w:r>
        <w:rPr>
          <w:rFonts w:hint="default" w:ascii="Times New Roman" w:hAnsi="Times New Roman" w:eastAsia="宋体" w:cs="Times New Roman"/>
          <w:spacing w:val="-2"/>
          <w:sz w:val="21"/>
          <w:szCs w:val="21"/>
        </w:rPr>
        <w:t>l</w:t>
      </w:r>
      <w:r>
        <w:rPr>
          <w:rFonts w:hint="default" w:ascii="Times New Roman" w:hAnsi="Times New Roman" w:eastAsia="宋体" w:cs="Times New Roman"/>
          <w:spacing w:val="-2"/>
          <w:sz w:val="21"/>
          <w:szCs w:val="21"/>
          <w:vertAlign w:val="subscript"/>
        </w:rPr>
        <w:t>2</w:t>
      </w:r>
      <w:r>
        <w:rPr>
          <w:rFonts w:hint="default" w:ascii="Times New Roman" w:hAnsi="Times New Roman" w:eastAsia="宋体" w:cs="Times New Roman"/>
          <w:spacing w:val="-3"/>
          <w:sz w:val="21"/>
          <w:szCs w:val="21"/>
        </w:rPr>
        <w:t>为支承立柱形心至钢平台最外边缘的水平距离。</w:t>
      </w:r>
    </w:p>
    <w:p w14:paraId="0EF40714">
      <w:pPr>
        <w:pStyle w:val="67"/>
        <w:keepNext w:val="0"/>
        <w:keepLines w:val="0"/>
        <w:pageBreakBefore w:val="0"/>
        <w:widowControl w:val="0"/>
        <w:kinsoku/>
        <w:wordWrap/>
        <w:overflowPunct/>
        <w:topLinePunct w:val="0"/>
        <w:bidi w:val="0"/>
        <w:adjustRightInd/>
        <w:snapToGrid/>
        <w:spacing w:line="240" w:lineRule="auto"/>
        <w:ind w:firstLine="408" w:firstLineChars="200"/>
        <w:jc w:val="both"/>
        <w:textAlignment w:val="auto"/>
        <w:rPr>
          <w:rFonts w:hint="default" w:ascii="Times New Roman" w:hAnsi="Times New Roman" w:eastAsia="宋体" w:cs="Times New Roman"/>
          <w:color w:val="auto"/>
          <w:spacing w:val="-3"/>
          <w:kern w:val="2"/>
          <w:sz w:val="21"/>
          <w:szCs w:val="21"/>
        </w:rPr>
      </w:pPr>
      <w:r>
        <w:rPr>
          <w:rFonts w:hint="default" w:ascii="Times New Roman" w:hAnsi="Times New Roman" w:eastAsia="宋体" w:cs="Times New Roman"/>
          <w:spacing w:val="-3"/>
          <w:sz w:val="21"/>
          <w:szCs w:val="21"/>
        </w:rPr>
        <w:t>4</w:t>
      </w:r>
      <w:r>
        <w:rPr>
          <w:rFonts w:hint="eastAsia" w:ascii="Times New Roman" w:hAnsi="Times New Roman" w:cs="Times New Roman"/>
          <w:spacing w:val="-3"/>
          <w:sz w:val="21"/>
          <w:szCs w:val="21"/>
          <w:lang w:val="en-US" w:eastAsia="zh-CN"/>
        </w:rPr>
        <w:t xml:space="preserve"> </w:t>
      </w:r>
      <w:r>
        <w:rPr>
          <w:rFonts w:hint="default" w:ascii="Times New Roman" w:hAnsi="Times New Roman" w:eastAsia="宋体" w:cs="Times New Roman"/>
          <w:spacing w:val="-3"/>
          <w:sz w:val="21"/>
          <w:szCs w:val="21"/>
          <w:lang w:val="en-US" w:eastAsia="zh-CN"/>
        </w:rPr>
        <w:t xml:space="preserve"> </w:t>
      </w:r>
      <w:r>
        <w:rPr>
          <w:rFonts w:hint="default" w:ascii="Times New Roman" w:hAnsi="Times New Roman" w:eastAsia="宋体" w:cs="Times New Roman"/>
          <w:color w:val="auto"/>
          <w:spacing w:val="-2"/>
          <w:kern w:val="2"/>
          <w:sz w:val="21"/>
          <w:szCs w:val="21"/>
        </w:rPr>
        <w:t>l3在施工、停工工况为最上部受力支座至钢平台顶部高度；顶升/提升工况为最下部受力支座至钢平台顶部高度</w:t>
      </w:r>
      <w:r>
        <w:rPr>
          <w:rFonts w:hint="default" w:ascii="Times New Roman" w:hAnsi="Times New Roman" w:eastAsia="宋体" w:cs="Times New Roman"/>
          <w:color w:val="auto"/>
          <w:spacing w:val="-3"/>
          <w:kern w:val="2"/>
          <w:sz w:val="21"/>
          <w:szCs w:val="21"/>
        </w:rPr>
        <w:t>。</w:t>
      </w:r>
    </w:p>
    <w:p w14:paraId="3229BF39">
      <w:pPr>
        <w:pStyle w:val="67"/>
        <w:keepNext w:val="0"/>
        <w:keepLines w:val="0"/>
        <w:pageBreakBefore w:val="0"/>
        <w:widowControl w:val="0"/>
        <w:kinsoku/>
        <w:wordWrap/>
        <w:overflowPunct/>
        <w:topLinePunct w:val="0"/>
        <w:bidi w:val="0"/>
        <w:adjustRightInd/>
        <w:snapToGrid/>
        <w:spacing w:line="240" w:lineRule="auto"/>
        <w:ind w:firstLine="408" w:firstLineChars="200"/>
        <w:jc w:val="both"/>
        <w:textAlignment w:val="auto"/>
        <w:rPr>
          <w:rFonts w:hint="default" w:ascii="Times New Roman" w:hAnsi="Times New Roman" w:eastAsia="黑体" w:cs="Times New Roman"/>
          <w:color w:val="auto"/>
          <w:spacing w:val="-3"/>
          <w:kern w:val="2"/>
          <w:sz w:val="20"/>
          <w:szCs w:val="20"/>
          <w:lang w:val="en-US" w:eastAsia="zh-CN"/>
        </w:rPr>
      </w:pPr>
      <w:r>
        <w:rPr>
          <w:rFonts w:hint="default" w:ascii="Times New Roman" w:hAnsi="Times New Roman" w:eastAsia="宋体" w:cs="Times New Roman"/>
          <w:color w:val="auto"/>
          <w:spacing w:val="-3"/>
          <w:kern w:val="2"/>
          <w:sz w:val="21"/>
          <w:szCs w:val="21"/>
          <w:lang w:val="en-US" w:eastAsia="zh-CN"/>
        </w:rPr>
        <w:t>5</w:t>
      </w:r>
      <w:r>
        <w:rPr>
          <w:rFonts w:hint="eastAsia" w:ascii="Times New Roman" w:hAnsi="Times New Roman" w:cs="Times New Roman"/>
          <w:color w:val="auto"/>
          <w:spacing w:val="-3"/>
          <w:kern w:val="2"/>
          <w:sz w:val="21"/>
          <w:szCs w:val="21"/>
          <w:lang w:val="en-US" w:eastAsia="zh-CN"/>
        </w:rPr>
        <w:t xml:space="preserve">  </w:t>
      </w:r>
      <w:r>
        <w:rPr>
          <w:rFonts w:hint="default" w:ascii="Times New Roman" w:hAnsi="Times New Roman" w:eastAsia="宋体" w:cs="Times New Roman"/>
          <w:spacing w:val="-2"/>
          <w:sz w:val="21"/>
          <w:szCs w:val="21"/>
        </w:rPr>
        <w:t>l</w:t>
      </w:r>
      <w:r>
        <w:rPr>
          <w:rFonts w:hint="default" w:ascii="Times New Roman" w:hAnsi="Times New Roman" w:eastAsia="宋体" w:cs="Times New Roman"/>
          <w:spacing w:val="-2"/>
          <w:sz w:val="21"/>
          <w:szCs w:val="21"/>
          <w:vertAlign w:val="subscript"/>
        </w:rPr>
        <w:t>1</w:t>
      </w:r>
      <w:r>
        <w:rPr>
          <w:rFonts w:hint="default" w:ascii="Times New Roman" w:hAnsi="Times New Roman" w:eastAsia="宋体" w:cs="Times New Roman"/>
          <w:spacing w:val="-3"/>
          <w:sz w:val="21"/>
          <w:szCs w:val="21"/>
          <w:lang w:eastAsia="zh-CN"/>
        </w:rPr>
        <w:t>、</w:t>
      </w:r>
      <w:r>
        <w:rPr>
          <w:rFonts w:hint="default" w:ascii="Times New Roman" w:hAnsi="Times New Roman" w:eastAsia="宋体" w:cs="Times New Roman"/>
          <w:spacing w:val="-2"/>
          <w:sz w:val="21"/>
          <w:szCs w:val="21"/>
        </w:rPr>
        <w:t>l</w:t>
      </w:r>
      <w:r>
        <w:rPr>
          <w:rFonts w:hint="default" w:ascii="Times New Roman" w:hAnsi="Times New Roman" w:eastAsia="宋体" w:cs="Times New Roman"/>
          <w:spacing w:val="-2"/>
          <w:sz w:val="21"/>
          <w:szCs w:val="21"/>
          <w:vertAlign w:val="subscript"/>
        </w:rPr>
        <w:t>2</w:t>
      </w:r>
      <w:r>
        <w:rPr>
          <w:rFonts w:hint="default" w:ascii="Times New Roman" w:hAnsi="Times New Roman" w:eastAsia="宋体" w:cs="Times New Roman"/>
          <w:spacing w:val="-3"/>
          <w:sz w:val="21"/>
          <w:szCs w:val="21"/>
          <w:lang w:eastAsia="zh-CN"/>
        </w:rPr>
        <w:t>、</w:t>
      </w:r>
      <w:r>
        <w:rPr>
          <w:rFonts w:hint="default" w:ascii="Times New Roman" w:hAnsi="Times New Roman" w:eastAsia="宋体" w:cs="Times New Roman"/>
          <w:color w:val="auto"/>
          <w:spacing w:val="-2"/>
          <w:kern w:val="2"/>
          <w:sz w:val="21"/>
          <w:szCs w:val="21"/>
        </w:rPr>
        <w:t>l</w:t>
      </w:r>
      <w:r>
        <w:rPr>
          <w:rFonts w:hint="default" w:ascii="Times New Roman" w:hAnsi="Times New Roman" w:eastAsia="宋体" w:cs="Times New Roman"/>
          <w:color w:val="auto"/>
          <w:spacing w:val="-2"/>
          <w:kern w:val="2"/>
          <w:sz w:val="21"/>
          <w:szCs w:val="21"/>
          <w:vertAlign w:val="subscript"/>
        </w:rPr>
        <w:t>3</w:t>
      </w:r>
      <w:r>
        <w:rPr>
          <w:rFonts w:hint="default" w:ascii="Times New Roman" w:hAnsi="Times New Roman" w:eastAsia="宋体" w:cs="Times New Roman"/>
          <w:spacing w:val="-3"/>
          <w:sz w:val="21"/>
          <w:szCs w:val="21"/>
          <w:lang w:val="en-US" w:eastAsia="zh-CN"/>
        </w:rPr>
        <w:t>如图5.3.4所示。</w:t>
      </w:r>
    </w:p>
    <w:p w14:paraId="56A90F6F">
      <w:pPr>
        <w:spacing w:before="96" w:line="410" w:lineRule="auto"/>
        <w:ind w:right="803"/>
        <w:jc w:val="center"/>
        <w:rPr>
          <w:color w:val="00B0F0"/>
          <w:spacing w:val="-4"/>
          <w:sz w:val="21"/>
        </w:rPr>
      </w:pPr>
      <w:r>
        <w:drawing>
          <wp:inline distT="0" distB="0" distL="0" distR="0">
            <wp:extent cx="4138930" cy="4087495"/>
            <wp:effectExtent l="0" t="0" r="13970" b="8255"/>
            <wp:docPr id="2336190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619031" name="图片 31"/>
                    <pic:cNvPicPr>
                      <a:picLocks noChangeAspect="1" noChangeArrowheads="1"/>
                    </pic:cNvPicPr>
                  </pic:nvPicPr>
                  <pic:blipFill>
                    <a:blip r:embed="rId12" cstate="print">
                      <a:extLst>
                        <a:ext uri="{28A0092B-C50C-407E-A947-70E740481C1C}">
                          <a14:useLocalDpi xmlns:a14="http://schemas.microsoft.com/office/drawing/2010/main" val="0"/>
                        </a:ext>
                      </a:extLst>
                    </a:blip>
                    <a:srcRect t="8255" b="21997"/>
                    <a:stretch>
                      <a:fillRect/>
                    </a:stretch>
                  </pic:blipFill>
                  <pic:spPr>
                    <a:xfrm>
                      <a:off x="0" y="0"/>
                      <a:ext cx="4192744" cy="4140227"/>
                    </a:xfrm>
                    <a:prstGeom prst="rect">
                      <a:avLst/>
                    </a:prstGeom>
                    <a:noFill/>
                    <a:ln>
                      <a:noFill/>
                    </a:ln>
                  </pic:spPr>
                </pic:pic>
              </a:graphicData>
            </a:graphic>
          </wp:inline>
        </w:drawing>
      </w:r>
    </w:p>
    <w:p w14:paraId="298D70E6">
      <w:pPr>
        <w:spacing w:before="96" w:line="410" w:lineRule="auto"/>
        <w:ind w:right="803"/>
        <w:jc w:val="center"/>
        <w:rPr>
          <w:rFonts w:hint="eastAsia" w:ascii="Times New Roman" w:hAnsi="Times New Roman" w:cs="Times New Roman"/>
          <w:color w:val="00B0F0"/>
          <w:spacing w:val="-3"/>
          <w:kern w:val="2"/>
          <w:sz w:val="21"/>
          <w:szCs w:val="24"/>
        </w:rPr>
      </w:pPr>
      <w:r>
        <w:rPr>
          <w:rFonts w:hint="default" w:ascii="Times New Roman" w:hAnsi="Times New Roman" w:eastAsia="黑体" w:cs="Times New Roman"/>
          <w:color w:val="auto"/>
          <w:spacing w:val="-4"/>
          <w:sz w:val="20"/>
          <w:szCs w:val="20"/>
        </w:rPr>
        <w:t>图5.3.</w:t>
      </w:r>
      <w:r>
        <w:rPr>
          <w:rFonts w:hint="eastAsia" w:eastAsia="黑体" w:cs="Times New Roman"/>
          <w:color w:val="auto"/>
          <w:spacing w:val="-4"/>
          <w:sz w:val="20"/>
          <w:szCs w:val="20"/>
          <w:lang w:val="en-US" w:eastAsia="zh-CN"/>
        </w:rPr>
        <w:t>5</w:t>
      </w:r>
      <w:r>
        <w:rPr>
          <w:rFonts w:hint="default" w:ascii="Times New Roman" w:hAnsi="Times New Roman" w:eastAsia="黑体" w:cs="Times New Roman"/>
          <w:color w:val="auto"/>
          <w:spacing w:val="-4"/>
          <w:sz w:val="20"/>
          <w:szCs w:val="20"/>
          <w:lang w:val="en-US" w:eastAsia="zh-CN"/>
        </w:rPr>
        <w:t xml:space="preserve">  </w:t>
      </w:r>
      <w:r>
        <w:rPr>
          <w:rFonts w:hint="default" w:ascii="Times New Roman" w:hAnsi="Times New Roman" w:eastAsia="黑体" w:cs="Times New Roman"/>
          <w:color w:val="auto"/>
          <w:spacing w:val="-4"/>
          <w:sz w:val="20"/>
          <w:szCs w:val="20"/>
        </w:rPr>
        <w:t>集成平台结构剖面示意图</w:t>
      </w:r>
    </w:p>
    <w:p w14:paraId="42C04B61">
      <w:r>
        <w:rPr>
          <w:rFonts w:hint="eastAsia"/>
          <w:b/>
          <w:bCs/>
        </w:rPr>
        <w:t>5</w:t>
      </w:r>
      <w:r>
        <w:rPr>
          <w:b/>
          <w:bCs/>
        </w:rPr>
        <w:t>.3.</w:t>
      </w:r>
      <w:r>
        <w:rPr>
          <w:rFonts w:hint="eastAsia"/>
          <w:b/>
          <w:bCs/>
          <w:lang w:val="en-US" w:eastAsia="zh-CN"/>
        </w:rPr>
        <w:t>6</w:t>
      </w:r>
      <w:r>
        <w:rPr>
          <w:rFonts w:hint="eastAsia"/>
        </w:rPr>
        <w:t xml:space="preserve">  </w:t>
      </w:r>
      <w:r>
        <w:t>结构分析与计算</w:t>
      </w:r>
    </w:p>
    <w:p w14:paraId="66189C28">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pPr>
      <w:r>
        <w:rPr>
          <w:rFonts w:hint="eastAsia"/>
          <w:b/>
          <w:bCs/>
          <w:lang w:val="en-US" w:eastAsia="zh-CN"/>
        </w:rPr>
        <w:t>1</w:t>
      </w:r>
      <w:r>
        <w:rPr>
          <w:rFonts w:hint="eastAsia"/>
          <w:lang w:val="en-US" w:eastAsia="zh-CN"/>
        </w:rPr>
        <w:t xml:space="preserve">  </w:t>
      </w:r>
      <w:r>
        <w:t>整体分析：应采用有限元软件建立空间分析模型，模型应准确反映结构的几何形态、构件截面、连接方式和边界条件。挂架、模板、设备等可作为荷载施加于主结构上。</w:t>
      </w:r>
    </w:p>
    <w:p w14:paraId="592B9527">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color w:val="00B0F0"/>
        </w:rPr>
      </w:pPr>
      <w:r>
        <w:rPr>
          <w:rFonts w:hint="eastAsia"/>
          <w:b/>
          <w:bCs/>
          <w:lang w:val="en-US" w:eastAsia="zh-CN"/>
        </w:rPr>
        <w:t>2</w:t>
      </w:r>
      <w:r>
        <w:rPr>
          <w:rFonts w:hint="eastAsia"/>
          <w:lang w:val="en-US" w:eastAsia="zh-CN"/>
        </w:rPr>
        <w:t xml:space="preserve">  </w:t>
      </w:r>
      <w:r>
        <w:t>局部分析：对支承点、顶升油缸支座、塔吊附着点等受力复杂的节点，应建立</w:t>
      </w:r>
      <w:r>
        <w:rPr>
          <w:color w:val="auto"/>
        </w:rPr>
        <w:t>局部精细化模型进行应力分析，确保应力集中区域的安全性。对重要的复杂节点，施工前宜按1:1的比例进行足尺模拟施工试验，根据模拟结果对节点构造及施工工艺进行优化设计，并应进行工艺评定。</w:t>
      </w:r>
    </w:p>
    <w:p w14:paraId="66A73251">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color w:val="000000" w:themeColor="text1"/>
          <w14:textFill>
            <w14:solidFill>
              <w14:schemeClr w14:val="tx1"/>
            </w14:solidFill>
          </w14:textFill>
        </w:rPr>
      </w:pPr>
      <w:r>
        <w:rPr>
          <w:rFonts w:hint="eastAsia"/>
          <w:b/>
          <w:bCs/>
          <w:lang w:val="en-US" w:eastAsia="zh-CN"/>
        </w:rPr>
        <w:t>3</w:t>
      </w:r>
      <w:r>
        <w:rPr>
          <w:rFonts w:hint="eastAsia"/>
          <w:lang w:val="en-US" w:eastAsia="zh-CN"/>
        </w:rPr>
        <w:t xml:space="preserve">  </w:t>
      </w:r>
      <w:r>
        <w:t>稳定性分析：应对平台整体及受压构件进行稳定性验算，考虑几何初始缺陷和材料非线性的影响。</w:t>
      </w:r>
    </w:p>
    <w:p w14:paraId="48C9729E">
      <w:pPr>
        <w:pStyle w:val="3"/>
        <w:bidi w:val="0"/>
        <w:rPr>
          <w:rFonts w:hint="default"/>
          <w:color w:val="000000" w:themeColor="text1"/>
          <w:lang w:val="en-US" w:eastAsia="zh-CN"/>
          <w14:textFill>
            <w14:solidFill>
              <w14:schemeClr w14:val="tx1"/>
            </w14:solidFill>
          </w14:textFill>
        </w:rPr>
      </w:pPr>
      <w:bookmarkStart w:id="91" w:name="_Toc19843"/>
      <w:bookmarkStart w:id="92" w:name="_Toc30626"/>
      <w:bookmarkStart w:id="93" w:name="_Toc2641"/>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 xml:space="preserve">  </w:t>
      </w:r>
      <w:bookmarkEnd w:id="91"/>
      <w:r>
        <w:rPr>
          <w:rFonts w:hint="eastAsia"/>
          <w:color w:val="000000" w:themeColor="text1"/>
          <w:lang w:val="en-US" w:eastAsia="zh-CN"/>
          <w14:textFill>
            <w14:solidFill>
              <w14:schemeClr w14:val="tx1"/>
            </w14:solidFill>
          </w14:textFill>
        </w:rPr>
        <w:t>动力系统设计</w:t>
      </w:r>
      <w:bookmarkEnd w:id="92"/>
      <w:bookmarkEnd w:id="93"/>
    </w:p>
    <w:p w14:paraId="0BA2CDCC">
      <w:pPr>
        <w:bidi w:val="0"/>
        <w:rPr>
          <w:rFonts w:hint="eastAsia"/>
          <w:color w:val="000000" w:themeColor="text1"/>
          <w:lang w:val="en-US" w:eastAsia="zh-CN"/>
          <w14:textFill>
            <w14:solidFill>
              <w14:schemeClr w14:val="tx1"/>
            </w14:solidFill>
          </w14:textFill>
        </w:rPr>
      </w:pPr>
      <w:bookmarkStart w:id="94" w:name="_Toc2029"/>
      <w:r>
        <w:rPr>
          <w:rFonts w:hint="eastAsia"/>
          <w:b/>
          <w:bCs/>
          <w:color w:val="000000" w:themeColor="text1"/>
          <w:lang w:val="en-US" w:eastAsia="zh-CN"/>
          <w14:textFill>
            <w14:solidFill>
              <w14:schemeClr w14:val="tx1"/>
            </w14:solidFill>
          </w14:textFill>
        </w:rPr>
        <w:t>5</w:t>
      </w:r>
      <w:r>
        <w:rPr>
          <w:rFonts w:hint="default"/>
          <w:b/>
          <w:bCs/>
          <w:color w:val="000000" w:themeColor="text1"/>
          <w:lang w:val="en-US" w:eastAsia="zh-CN"/>
          <w14:textFill>
            <w14:solidFill>
              <w14:schemeClr w14:val="tx1"/>
            </w14:solidFill>
          </w14:textFill>
        </w:rPr>
        <w:t>.4.1</w:t>
      </w:r>
      <w:r>
        <w:rPr>
          <w:rFonts w:hint="eastAsia"/>
          <w:color w:val="000000" w:themeColor="text1"/>
          <w:lang w:val="en-US" w:eastAsia="zh-CN"/>
          <w14:textFill>
            <w14:solidFill>
              <w14:schemeClr w14:val="tx1"/>
            </w14:solidFill>
          </w14:textFill>
        </w:rPr>
        <w:t xml:space="preserve">  </w:t>
      </w:r>
      <w:bookmarkEnd w:id="94"/>
      <w:r>
        <w:rPr>
          <w:rFonts w:hint="default"/>
          <w:color w:val="000000" w:themeColor="text1"/>
          <w:lang w:val="en-US" w:eastAsia="zh-CN"/>
          <w14:textFill>
            <w14:solidFill>
              <w14:schemeClr w14:val="tx1"/>
            </w14:solidFill>
          </w14:textFill>
        </w:rPr>
        <w:t>液压顶升系统设计</w:t>
      </w:r>
    </w:p>
    <w:p w14:paraId="1B1E3EED">
      <w:pPr>
        <w:bidi w:val="0"/>
        <w:ind w:firstLine="482" w:firstLineChars="200"/>
        <w:rPr>
          <w:rFonts w:hint="eastAsia" w:eastAsia="宋体"/>
          <w:color w:val="000000" w:themeColor="text1"/>
          <w:lang w:eastAsia="zh-CN"/>
          <w14:textFill>
            <w14:solidFill>
              <w14:schemeClr w14:val="tx1"/>
            </w14:solidFill>
          </w14:textFill>
        </w:rPr>
      </w:pPr>
      <w:r>
        <w:rPr>
          <w:rFonts w:hint="eastAsia"/>
          <w:b/>
          <w:bCs/>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液压缸应符合《立式油压千斤顶》GB/T 27697的规定。</w:t>
      </w:r>
    </w:p>
    <w:p w14:paraId="1B2B65C2">
      <w:pPr>
        <w:bidi w:val="0"/>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液压缸缸径应符合《流体传动系统及元件 缸径及活塞杆直径》GB/T 2348的规定。</w:t>
      </w:r>
    </w:p>
    <w:p w14:paraId="6778327F">
      <w:pPr>
        <w:bidi w:val="0"/>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液压缸行程应符合《液压气动系统及元件 缸活塞行程系列》GB/T 2349的规定。</w:t>
      </w:r>
    </w:p>
    <w:p w14:paraId="4B36F0B3">
      <w:pPr>
        <w:bidi w:val="0"/>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液压缸顶升的额定荷载不应小于负载、活塞杆或缸体自重和摩擦力之和。</w:t>
      </w:r>
    </w:p>
    <w:p w14:paraId="04651AA7">
      <w:pPr>
        <w:bidi w:val="0"/>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5</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液压缸能在温度为-</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0℃~50℃的环境中正常工作。油压系统应密封良好，固定密封处不应渗漏，运动密封处只允许有油膜存在。</w:t>
      </w:r>
    </w:p>
    <w:p w14:paraId="5B542D56">
      <w:pPr>
        <w:bidi w:val="0"/>
        <w:ind w:firstLine="482" w:firstLineChars="200"/>
        <w:rPr>
          <w:rFonts w:hint="eastAsia"/>
          <w:color w:val="000000" w:themeColor="text1"/>
          <w:lang w:eastAsia="zh-CN"/>
          <w14:textFill>
            <w14:solidFill>
              <w14:schemeClr w14:val="tx1"/>
            </w14:solidFill>
          </w14:textFill>
        </w:rPr>
      </w:pPr>
      <w:r>
        <w:rPr>
          <w:rFonts w:hint="eastAsia"/>
          <w:b/>
          <w:bCs/>
          <w:color w:val="000000" w:themeColor="text1"/>
          <w14:textFill>
            <w14:solidFill>
              <w14:schemeClr w14:val="tx1"/>
            </w14:solidFill>
          </w14:textFill>
        </w:rPr>
        <w:t>6</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液压缸电气系统应符合《机械电气安全 机械电气设备 第32部分：起重机械技术条件》GB/T 5226.32的规定。</w:t>
      </w:r>
    </w:p>
    <w:p w14:paraId="2AF2E4B5">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default"/>
          <w:b/>
          <w:bCs/>
          <w:color w:val="000000" w:themeColor="text1"/>
          <w:lang w:val="en-US" w:eastAsia="zh-CN"/>
          <w14:textFill>
            <w14:solidFill>
              <w14:schemeClr w14:val="tx1"/>
            </w14:solidFill>
          </w14:textFill>
        </w:rPr>
        <w:t>.4.</w:t>
      </w:r>
      <w:r>
        <w:rPr>
          <w:rFonts w:hint="eastAsia"/>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导向与定位装置设计</w:t>
      </w:r>
    </w:p>
    <w:p w14:paraId="27F5886E">
      <w:pPr>
        <w:bidi w:val="0"/>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导轨通过附着装置固定于建筑结构，导轨接长应采用刚性接头，导轨在附着装置处应设导向装置，数量不应少于2处。</w:t>
      </w:r>
    </w:p>
    <w:p w14:paraId="497DC2B4">
      <w:pPr>
        <w:bidi w:val="0"/>
        <w:ind w:firstLine="482"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 xml:space="preserve">  </w:t>
      </w:r>
      <w:r>
        <w:rPr>
          <w:rFonts w:hint="default" w:ascii="Times New Roman" w:hAnsi="Times New Roman" w:cs="Times New Roman"/>
          <w:color w:val="000000" w:themeColor="text1"/>
          <w14:textFill>
            <w14:solidFill>
              <w14:schemeClr w14:val="tx1"/>
            </w14:solidFill>
          </w14:textFill>
        </w:rPr>
        <w:t>导轨垂直度</w:t>
      </w:r>
      <w:r>
        <w:rPr>
          <w:rFonts w:hint="default" w:ascii="Times New Roman" w:hAnsi="Times New Roman" w:cs="Times New Roman"/>
          <w:color w:val="000000" w:themeColor="text1"/>
          <w:lang w:val="en-US" w:eastAsia="zh-CN"/>
          <w14:textFill>
            <w14:solidFill>
              <w14:schemeClr w14:val="tx1"/>
            </w14:solidFill>
          </w14:textFill>
        </w:rPr>
        <w:t>偏差</w:t>
      </w:r>
      <w:r>
        <w:rPr>
          <w:rFonts w:hint="default" w:ascii="Times New Roman" w:hAnsi="Times New Roman" w:cs="Times New Roman"/>
          <w:color w:val="000000" w:themeColor="text1"/>
          <w:highlight w:val="none"/>
          <w14:textFill>
            <w14:solidFill>
              <w14:schemeClr w14:val="tx1"/>
            </w14:solidFill>
          </w14:textFill>
        </w:rPr>
        <w:t>不</w:t>
      </w:r>
      <w:r>
        <w:rPr>
          <w:rFonts w:hint="default" w:ascii="Times New Roman" w:hAnsi="Times New Roman" w:cs="Times New Roman"/>
          <w:color w:val="000000" w:themeColor="text1"/>
          <w:highlight w:val="none"/>
          <w:lang w:val="en-US" w:eastAsia="zh-CN"/>
          <w14:textFill>
            <w14:solidFill>
              <w14:schemeClr w14:val="tx1"/>
            </w14:solidFill>
          </w14:textFill>
        </w:rPr>
        <w:t>宜</w:t>
      </w:r>
      <w:r>
        <w:rPr>
          <w:rFonts w:hint="default" w:ascii="Times New Roman" w:hAnsi="Times New Roman" w:cs="Times New Roman"/>
          <w:color w:val="000000" w:themeColor="text1"/>
          <w:highlight w:val="none"/>
          <w14:textFill>
            <w14:solidFill>
              <w14:schemeClr w14:val="tx1"/>
            </w14:solidFill>
          </w14:textFill>
        </w:rPr>
        <w:t>大于</w:t>
      </w:r>
      <w:r>
        <w:rPr>
          <w:rFonts w:hint="default" w:ascii="Times New Roman" w:hAnsi="Times New Roman" w:cs="Times New Roman"/>
          <w:color w:val="000000" w:themeColor="text1"/>
          <w14:textFill>
            <w14:solidFill>
              <w14:schemeClr w14:val="tx1"/>
            </w14:solidFill>
          </w14:textFill>
        </w:rPr>
        <w:t>1‰。</w:t>
      </w:r>
    </w:p>
    <w:p w14:paraId="41D91B4B">
      <w:pPr>
        <w:bidi w:val="0"/>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导轨应设置不少于2处防倾覆装置。</w:t>
      </w:r>
    </w:p>
    <w:p w14:paraId="501D09DC">
      <w:pPr>
        <w:bidi w:val="0"/>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导向装置应与附着装置可靠连接。</w:t>
      </w:r>
    </w:p>
    <w:p w14:paraId="775CD45E">
      <w:pPr>
        <w:bidi w:val="0"/>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5</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导向装置与导向轨道水平间距不应大于10mm。</w:t>
      </w:r>
    </w:p>
    <w:p w14:paraId="4F1A27E0">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default"/>
          <w:b/>
          <w:bCs/>
          <w:color w:val="000000" w:themeColor="text1"/>
          <w:lang w:val="en-US" w:eastAsia="zh-CN"/>
          <w14:textFill>
            <w14:solidFill>
              <w14:schemeClr w14:val="tx1"/>
            </w14:solidFill>
          </w14:textFill>
        </w:rPr>
        <w:t>.4.</w:t>
      </w:r>
      <w:r>
        <w:rPr>
          <w:rFonts w:hint="eastAsia"/>
          <w:b/>
          <w:bCs/>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锁紧与防坠装置设计</w:t>
      </w:r>
    </w:p>
    <w:p w14:paraId="59DC7A45">
      <w:pPr>
        <w:bidi w:val="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集成平台应采用卡阻式或渐进式防坠装置。</w:t>
      </w:r>
    </w:p>
    <w:p w14:paraId="52DD4E40">
      <w:pPr>
        <w:bidi w:val="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每个点位均应设置防坠装置，且在顶升和使用工况下均必须起作用。</w:t>
      </w:r>
    </w:p>
    <w:p w14:paraId="5C954314">
      <w:pPr>
        <w:bidi w:val="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防坠装置应采用机械式的全自动复位装置，禁止使用手动复位装置。</w:t>
      </w:r>
    </w:p>
    <w:p w14:paraId="67B3D219">
      <w:pPr>
        <w:bidi w:val="0"/>
        <w:ind w:firstLine="480" w:firstLineChars="20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4 </w:t>
      </w:r>
      <w:r>
        <w:rPr>
          <w:rFonts w:hint="eastAsia"/>
          <w:color w:val="000000" w:themeColor="text1"/>
          <w14:textFill>
            <w14:solidFill>
              <w14:schemeClr w14:val="tx1"/>
            </w14:solidFill>
          </w14:textFill>
        </w:rPr>
        <w:t>防坠装置应具有防尘、防污染措施，并应灵敏可靠，运转自如。</w:t>
      </w:r>
    </w:p>
    <w:p w14:paraId="5657CE4D">
      <w:pPr>
        <w:bidi w:val="0"/>
        <w:rPr>
          <w:rFonts w:hint="eastAsia"/>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5</w:t>
      </w:r>
      <w:r>
        <w:rPr>
          <w:rFonts w:hint="default"/>
          <w:b/>
          <w:bCs/>
          <w:color w:val="000000" w:themeColor="text1"/>
          <w:highlight w:val="none"/>
          <w:lang w:val="en-US"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4</w:t>
      </w:r>
      <w:r>
        <w:rPr>
          <w:rFonts w:hint="default"/>
          <w:b/>
          <w:bCs/>
          <w:color w:val="000000" w:themeColor="text1"/>
          <w:highlight w:val="none"/>
          <w:lang w:val="en-US"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 xml:space="preserve">  动力控制系统</w:t>
      </w:r>
    </w:p>
    <w:p w14:paraId="564EF4D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基本功能及要求</w:t>
      </w:r>
    </w:p>
    <w:p w14:paraId="488FC82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控制系统宜实现顶升同步、姿态监控等常规动作控制；全程监测超限、有急停功能，出现异常直接切断动力锁止设备，系统宜具有上传运行与报警数据至监管平台的接口。</w:t>
      </w:r>
    </w:p>
    <w:p w14:paraId="13A44A91">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控制系统应具有本地控制的功能，宜具有远程监测的功能。</w:t>
      </w:r>
    </w:p>
    <w:p w14:paraId="579ED449">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控制系统应设置人机交互、实时状态及报警显示的终端，宜设置操作、排除故障指引的移动式终端。</w:t>
      </w:r>
    </w:p>
    <w:p w14:paraId="7B6DE331">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动力系统的控制应满足以下要求：所有执行元件进行集中控制；具有单机位独立控制和多机位联动控制两种操作模式；动力系统应具备一键自动控制提升功能。</w:t>
      </w:r>
    </w:p>
    <w:p w14:paraId="78FA2D4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同步控制</w:t>
      </w:r>
      <w:r>
        <w:rPr>
          <w:rFonts w:hint="eastAsia"/>
          <w:color w:val="000000" w:themeColor="text1"/>
          <w:lang w:val="en-US" w:eastAsia="zh-CN"/>
          <w14:textFill>
            <w14:solidFill>
              <w14:schemeClr w14:val="tx1"/>
            </w14:solidFill>
          </w14:textFill>
        </w:rPr>
        <w:t>设计要求</w:t>
      </w:r>
    </w:p>
    <w:p w14:paraId="0FE822D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升降过程中，任意机位与相邻机位同步误差不应超过30mm；</w:t>
      </w:r>
    </w:p>
    <w:p w14:paraId="2A5B2D90">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相邻机位同步误差≥10mm预警、≥20mm报警、≥30mm自动停机；</w:t>
      </w:r>
    </w:p>
    <w:p w14:paraId="0B40F1B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在爬升过程中，宜采用分步同步控制，以机构设定的行程模数视为一步，每爬升一步先到位的机位应等待，待全部都到位后，方可启动下一步的爬升。</w:t>
      </w:r>
    </w:p>
    <w:p w14:paraId="365FC7C6">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包括但不限于压力超限、行程限位、滤芯堵塞、液压站油位过低、传感器故障等超限安全保护，设置紧急停止按钮。</w:t>
      </w:r>
    </w:p>
    <w:p w14:paraId="5000D24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倾斜度监测与调平控制</w:t>
      </w:r>
    </w:p>
    <w:p w14:paraId="23D3465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w:t>
      </w:r>
      <w:r>
        <w:rPr>
          <w:rFonts w:hint="eastAsia" w:ascii="Times New Roman" w:hAnsi="Times New Roman" w:eastAsia="宋体" w:cs="Times New Roman"/>
          <w:b/>
          <w:bCs/>
          <w:color w:val="000000" w:themeColor="text1"/>
          <w:lang w:val="en-US" w:eastAsia="zh-CN"/>
          <w14:textFill>
            <w14:solidFill>
              <w14:schemeClr w14:val="tx1"/>
            </w14:solidFill>
          </w14:textFill>
        </w:rPr>
        <w:t>1</w:t>
      </w:r>
      <w:r>
        <w:rPr>
          <w:rFonts w:hint="eastAsia" w:cs="Times New Roman"/>
          <w:b/>
          <w:bCs/>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升</w:t>
      </w:r>
      <w:r>
        <w:rPr>
          <w:rFonts w:hint="default" w:ascii="Times New Roman" w:hAnsi="Times New Roman" w:eastAsia="宋体" w:cs="Times New Roman"/>
          <w:color w:val="000000" w:themeColor="text1"/>
          <w:lang w:val="en-US" w:eastAsia="zh-CN"/>
          <w14:textFill>
            <w14:solidFill>
              <w14:schemeClr w14:val="tx1"/>
            </w14:solidFill>
          </w14:textFill>
        </w:rPr>
        <w:t>降过程中，垂直度</w:t>
      </w:r>
      <w:r>
        <w:rPr>
          <w:rFonts w:hint="default" w:ascii="Times New Roman" w:hAnsi="Times New Roman" w:cs="Times New Roman"/>
          <w:color w:val="000000" w:themeColor="text1"/>
          <w:lang w:val="en-US" w:eastAsia="zh-CN"/>
          <w14:textFill>
            <w14:solidFill>
              <w14:schemeClr w14:val="tx1"/>
            </w14:solidFill>
          </w14:textFill>
        </w:rPr>
        <w:t>偏差</w:t>
      </w:r>
      <w:r>
        <w:rPr>
          <w:rFonts w:hint="default" w:ascii="Times New Roman" w:hAnsi="Times New Roman" w:eastAsia="宋体" w:cs="Times New Roman"/>
          <w:color w:val="000000" w:themeColor="text1"/>
          <w:lang w:val="en-US" w:eastAsia="zh-CN"/>
          <w14:textFill>
            <w14:solidFill>
              <w14:schemeClr w14:val="tx1"/>
            </w14:solidFill>
          </w14:textFill>
        </w:rPr>
        <w:t>不大于</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eastAsia="宋体" w:cs="Times New Roman"/>
          <w:color w:val="000000" w:themeColor="text1"/>
          <w:lang w:val="en-US" w:eastAsia="zh-CN"/>
          <w14:textFill>
            <w14:solidFill>
              <w14:schemeClr w14:val="tx1"/>
            </w14:solidFill>
          </w14:textFill>
        </w:rPr>
        <w:t>‰。</w:t>
      </w:r>
    </w:p>
    <w:p w14:paraId="3FF5EBE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w:t>
      </w:r>
      <w:r>
        <w:rPr>
          <w:rFonts w:hint="eastAsia" w:ascii="Times New Roman" w:hAnsi="Times New Roman" w:eastAsia="宋体" w:cs="Times New Roman"/>
          <w:b/>
          <w:bCs/>
          <w:color w:val="000000" w:themeColor="text1"/>
          <w:lang w:val="en-US" w:eastAsia="zh-CN"/>
          <w14:textFill>
            <w14:solidFill>
              <w14:schemeClr w14:val="tx1"/>
            </w14:solidFill>
          </w14:textFill>
        </w:rPr>
        <w:t>2</w:t>
      </w:r>
      <w:r>
        <w:rPr>
          <w:rFonts w:hint="eastAsia" w:cs="Times New Roman"/>
          <w:b/>
          <w:bCs/>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控制系统宜配置自适应垂直度控制算法，轻微倾斜时发出声光报警，偏差达到阈值时自动停机。</w:t>
      </w:r>
    </w:p>
    <w:p w14:paraId="5BCD6271">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 xml:space="preserve">4 </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荷载实时监控与自适应控制</w:t>
      </w:r>
    </w:p>
    <w:p w14:paraId="64847B1F">
      <w:pPr>
        <w:bidi w:val="0"/>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各支点荷载实时感知：同一机位各支点荷载宜自动协同受力，应具有实时检测及显示功能。</w:t>
      </w:r>
    </w:p>
    <w:p w14:paraId="45BAE189">
      <w:pPr>
        <w:bidi w:val="0"/>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倾斜度监测：每个爬升动力系统内应设有随时观测几个方向垂直度的功能，当垂直偏差大于1‰时，报应警停机。</w:t>
      </w:r>
    </w:p>
    <w:p w14:paraId="3129C8EC">
      <w:pPr>
        <w:bidi w:val="0"/>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超载报警与保护：系统应根据现场作业分区，设置工况荷载保护阈值；设备首次安装完成调试后，采集的实测荷载作为工况报警基准阈值，该基准阈值不得大于设备出厂额定荷载。实时荷载不应超过额定荷载的80%；当整机实时荷载达到额定荷载的80%时，系统应自动发出声光报警，当整机实时荷载达到额定荷载的100%时，系统应自动停机并锁定。</w:t>
      </w:r>
    </w:p>
    <w:p w14:paraId="15C748AD">
      <w:pPr>
        <w:bidi w:val="0"/>
        <w:ind w:firstLine="482" w:firstLineChars="200"/>
        <w:rPr>
          <w:b w:val="0"/>
          <w:bCs w:val="0"/>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eastAsia"/>
          <w:b w:val="0"/>
          <w:bCs w:val="0"/>
          <w:color w:val="000000" w:themeColor="text1"/>
          <w:lang w:val="en-US" w:eastAsia="zh-CN"/>
          <w14:textFill>
            <w14:solidFill>
              <w14:schemeClr w14:val="tx1"/>
            </w14:solidFill>
          </w14:textFill>
        </w:rPr>
        <w:t>任何机位超过额定荷载应自动停机。</w:t>
      </w:r>
    </w:p>
    <w:p w14:paraId="1C459818">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安全控制功能</w:t>
      </w:r>
    </w:p>
    <w:p w14:paraId="04915A5E">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安全控制系统宜采用安全PLC构建独立的安全链路，独立在主控PLC以外，不受程序控制影响；</w:t>
      </w:r>
    </w:p>
    <w:p w14:paraId="47EC1402">
      <w:pPr>
        <w:keepNext w:val="0"/>
        <w:keepLines w:val="0"/>
        <w:pageBreakBefore w:val="0"/>
        <w:widowControl w:val="0"/>
        <w:kinsoku/>
        <w:wordWrap/>
        <w:overflowPunct/>
        <w:topLinePunct w:val="0"/>
        <w:autoSpaceDE/>
        <w:autoSpaceDN/>
        <w:bidi w:val="0"/>
        <w:adjustRightInd/>
        <w:snapToGrid/>
        <w:ind w:firstLine="482" w:firstLineChars="200"/>
        <w:textAlignment w:val="auto"/>
        <w:rPr>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每个机位处应设置一个急停开关，按动任何一个，所有设备停止运行。</w:t>
      </w:r>
    </w:p>
    <w:p w14:paraId="38A40B29">
      <w:pPr>
        <w:bidi w:val="0"/>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6</w:t>
      </w:r>
      <w:r>
        <w:rPr>
          <w:rFonts w:hint="eastAsia"/>
          <w:b w:val="0"/>
          <w:bCs w:val="0"/>
          <w:color w:val="000000" w:themeColor="text1"/>
          <w:lang w:val="en-US" w:eastAsia="zh-CN"/>
          <w14:textFill>
            <w14:solidFill>
              <w14:schemeClr w14:val="tx1"/>
            </w14:solidFill>
          </w14:textFill>
        </w:rPr>
        <w:t xml:space="preserve">  人机界面</w:t>
      </w:r>
    </w:p>
    <w:p w14:paraId="22BE9FF8">
      <w:pPr>
        <w:bidi w:val="0"/>
        <w:ind w:firstLine="480" w:firstLineChars="200"/>
        <w:rPr>
          <w:b w:val="0"/>
          <w:bCs w:val="0"/>
          <w:color w:val="000000" w:themeColor="text1"/>
          <w14:textFill>
            <w14:solidFill>
              <w14:schemeClr w14:val="tx1"/>
            </w14:solidFill>
          </w14:textFill>
        </w:rPr>
      </w:pPr>
      <w:r>
        <w:rPr>
          <w:rFonts w:hint="eastAsia"/>
          <w:b w:val="0"/>
          <w:bCs w:val="0"/>
          <w:color w:val="000000" w:themeColor="text1"/>
          <w:lang w:val="en-US" w:eastAsia="zh-CN"/>
          <w14:textFill>
            <w14:solidFill>
              <w14:schemeClr w14:val="tx1"/>
            </w14:solidFill>
          </w14:textFill>
        </w:rPr>
        <w:t>控制系统应设置具备人机交互、实时状态、报警显示等功能，宜配备可提供操作和故障排查指引等内容；多终端交互配置时，控制系统应配套本地实体操作台、工业触摸屏作为现场核心操作终端，可配套远程移动端实现设备状态远程监视。</w:t>
      </w:r>
    </w:p>
    <w:p w14:paraId="7AD510F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7</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操作与维护要求</w:t>
      </w:r>
    </w:p>
    <w:p w14:paraId="7DD8F230">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权限分级管理</w:t>
      </w:r>
    </w:p>
    <w:p w14:paraId="3A4AA5A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控制系统应设置操作员、运维员、管理员三级分级权限管理，区分操作权限。</w:t>
      </w:r>
    </w:p>
    <w:p w14:paraId="34FEDBA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参数备份与恢复</w:t>
      </w:r>
    </w:p>
    <w:p w14:paraId="42C1140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控制系统宜支持控制参数本地与云端双备份，故障检修、程序更新后可一键恢复标准参数。</w:t>
      </w:r>
    </w:p>
    <w:p w14:paraId="26F5C2F8">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lang w:val="en-US" w:eastAsia="zh-CN"/>
          <w14:textFill>
            <w14:solidFill>
              <w14:schemeClr w14:val="tx1"/>
            </w14:solidFill>
          </w14:textFill>
        </w:rPr>
        <w:t>固</w:t>
      </w:r>
      <w:r>
        <w:rPr>
          <w:rFonts w:hint="eastAsia"/>
          <w:color w:val="000000" w:themeColor="text1"/>
          <w:lang w:val="en-US" w:eastAsia="zh-CN"/>
          <w14:textFill>
            <w14:solidFill>
              <w14:schemeClr w14:val="tx1"/>
            </w14:solidFill>
          </w14:textFill>
        </w:rPr>
        <w:t>件OTA/FOTA升级</w:t>
      </w:r>
    </w:p>
    <w:p w14:paraId="5C1A9C3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控制系统边缘网关、控制器、人机终端宜支持 OTA/FOTA 固件升级。</w:t>
      </w:r>
    </w:p>
    <w:p w14:paraId="4482427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系统日志与审计</w:t>
      </w:r>
    </w:p>
    <w:p w14:paraId="76B7637C">
      <w:pPr>
        <w:keepNext w:val="0"/>
        <w:keepLines w:val="0"/>
        <w:pageBreakBefore w:val="0"/>
        <w:widowControl w:val="0"/>
        <w:kinsoku/>
        <w:wordWrap/>
        <w:overflowPunct/>
        <w:topLinePunct w:val="0"/>
        <w:autoSpaceDE/>
        <w:autoSpaceDN/>
        <w:bidi w:val="0"/>
        <w:adjustRightInd/>
        <w:snapToGrid/>
        <w:ind w:firstLine="480" w:firstLineChars="20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控制系统应完整存储运行数据、故障报警、参数修改日志，本地审计日志留存不少于720h（30天），并支持导出。</w:t>
      </w:r>
    </w:p>
    <w:p w14:paraId="1081CF87">
      <w:pPr>
        <w:pStyle w:val="3"/>
        <w:bidi w:val="0"/>
        <w:rPr>
          <w:rFonts w:hint="default"/>
          <w:color w:val="000000" w:themeColor="text1"/>
          <w:lang w:val="en-US" w:eastAsia="zh-CN"/>
          <w14:textFill>
            <w14:solidFill>
              <w14:schemeClr w14:val="tx1"/>
            </w14:solidFill>
          </w14:textFill>
        </w:rPr>
      </w:pPr>
      <w:bookmarkStart w:id="95" w:name="_Toc31829"/>
      <w:bookmarkStart w:id="96" w:name="_Toc1461"/>
      <w:bookmarkStart w:id="97" w:name="_Toc21743"/>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 xml:space="preserve">  </w:t>
      </w:r>
      <w:bookmarkEnd w:id="95"/>
      <w:r>
        <w:rPr>
          <w:rFonts w:hint="eastAsia"/>
          <w:color w:val="000000" w:themeColor="text1"/>
          <w:lang w:val="en-US" w:eastAsia="zh-CN"/>
          <w14:textFill>
            <w14:solidFill>
              <w14:schemeClr w14:val="tx1"/>
            </w14:solidFill>
          </w14:textFill>
        </w:rPr>
        <w:t>模板与作业附属系统设计</w:t>
      </w:r>
      <w:bookmarkEnd w:id="96"/>
      <w:bookmarkEnd w:id="97"/>
    </w:p>
    <w:p w14:paraId="310A16E7">
      <w:pPr>
        <w:bidi w:val="0"/>
        <w:rPr>
          <w:rFonts w:hint="default"/>
          <w:lang w:val="en-US" w:eastAsia="zh-CN"/>
        </w:rPr>
      </w:pPr>
      <w:bookmarkStart w:id="98" w:name="_Toc22785"/>
      <w:r>
        <w:rPr>
          <w:rFonts w:hint="eastAsia"/>
          <w:b/>
          <w:bCs/>
          <w:lang w:val="en-US" w:eastAsia="zh-CN"/>
        </w:rPr>
        <w:t>5</w:t>
      </w:r>
      <w:r>
        <w:rPr>
          <w:rFonts w:hint="default"/>
          <w:b/>
          <w:bCs/>
          <w:lang w:val="en-US" w:eastAsia="zh-CN"/>
        </w:rPr>
        <w:t>.5.1</w:t>
      </w:r>
      <w:r>
        <w:rPr>
          <w:rFonts w:hint="eastAsia"/>
          <w:lang w:val="en-US" w:eastAsia="zh-CN"/>
        </w:rPr>
        <w:t xml:space="preserve">  </w:t>
      </w:r>
      <w:bookmarkEnd w:id="98"/>
      <w:r>
        <w:rPr>
          <w:rFonts w:hint="eastAsia"/>
          <w:lang w:val="en-US" w:eastAsia="zh-CN"/>
        </w:rPr>
        <w:t>模板系统集成</w:t>
      </w:r>
    </w:p>
    <w:p w14:paraId="09C5A3F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模板系统设计应符合现行行业标准《建筑施工模板安全技术规范》JGJ 162的规定</w:t>
      </w: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HYPERLINK "https://www.ccsn.org.cn/DownFile.axd?ID=73d01233-0ab0-42ff-aebe-bf84345a3fdb&amp;Type=ArtAttchmentFileDown" \l "2#1" \t "https://chat.deepseek.com/a/chat/s/_blank"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w:t>
      </w:r>
    </w:p>
    <w:p w14:paraId="483C228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1</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模板类型：</w:t>
      </w:r>
    </w:p>
    <w:p w14:paraId="37C021CA">
      <w:pPr>
        <w:keepNext w:val="0"/>
        <w:keepLines w:val="0"/>
        <w:pageBreakBefore w:val="0"/>
        <w:widowControl w:val="0"/>
        <w:numPr>
          <w:ilvl w:val="0"/>
          <w:numId w:val="5"/>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铝合金模板宜采用6061-T6/6082-T6型材，大钢模板应采用Q</w:t>
      </w:r>
      <w:r>
        <w:rPr>
          <w:rFonts w:hint="eastAsia" w:ascii="Times New Roman" w:hAnsi="Times New Roman" w:eastAsia="宋体" w:cs="Times New Roman"/>
          <w:color w:val="auto"/>
          <w:highlight w:val="none"/>
          <w:lang w:val="en-US" w:eastAsia="zh-CN"/>
        </w:rPr>
        <w:t>235</w:t>
      </w:r>
      <w:r>
        <w:rPr>
          <w:rFonts w:hint="default" w:ascii="Times New Roman" w:hAnsi="Times New Roman" w:eastAsia="宋体" w:cs="Times New Roman"/>
          <w:color w:val="auto"/>
          <w:highlight w:val="none"/>
          <w:lang w:val="en-US" w:eastAsia="zh-CN"/>
        </w:rPr>
        <w:t>及以上钢材。</w:t>
      </w:r>
    </w:p>
    <w:p w14:paraId="3548BA99">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eastAsia" w:ascii="Times New Roman" w:hAnsi="Times New Roman" w:eastAsia="宋体" w:cs="Times New Roman"/>
          <w:color w:val="auto"/>
          <w:highlight w:val="none"/>
          <w:lang w:val="en-US" w:eastAsia="zh-CN"/>
        </w:rPr>
        <w:t>山墙及电梯井道</w:t>
      </w:r>
      <w:r>
        <w:rPr>
          <w:rFonts w:hint="default" w:ascii="Times New Roman" w:hAnsi="Times New Roman" w:eastAsia="宋体" w:cs="Times New Roman"/>
          <w:color w:val="auto"/>
          <w:highlight w:val="none"/>
          <w:lang w:val="en-US" w:eastAsia="zh-CN"/>
        </w:rPr>
        <w:t>模板系统应能随集成平台同步顶升，为新浇混凝土成型提供可靠支承。</w:t>
      </w:r>
    </w:p>
    <w:p w14:paraId="5E5E50DA">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合模/脱模机构：</w:t>
      </w:r>
    </w:p>
    <w:p w14:paraId="67E19C8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default" w:ascii="Times New Roman" w:hAnsi="Times New Roman" w:eastAsia="宋体" w:cs="Times New Roman"/>
          <w:color w:val="auto"/>
          <w:highlight w:val="none"/>
          <w:lang w:val="en-US" w:eastAsia="zh-CN"/>
        </w:rPr>
        <w:t>模板应设置合模与脱模机构，确保模板在混凝土浇筑完成后能可靠脱开墙体。</w:t>
      </w:r>
    </w:p>
    <w:p w14:paraId="64121D1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default" w:ascii="Times New Roman" w:hAnsi="Times New Roman" w:eastAsia="宋体" w:cs="Times New Roman"/>
          <w:color w:val="auto"/>
          <w:highlight w:val="none"/>
          <w:lang w:val="en-US" w:eastAsia="zh-CN"/>
        </w:rPr>
        <w:t>脱模机构宜采用可调节螺杆或液压驱动方式，操作灵活、可靠。</w:t>
      </w:r>
    </w:p>
    <w:p w14:paraId="2A751070">
      <w:pPr>
        <w:bidi w:val="0"/>
        <w:rPr>
          <w:rFonts w:hint="eastAsia"/>
          <w:lang w:val="en-US" w:eastAsia="zh-CN"/>
        </w:rPr>
      </w:pPr>
      <w:bookmarkStart w:id="99" w:name="_Toc11457"/>
      <w:r>
        <w:rPr>
          <w:rFonts w:hint="eastAsia"/>
          <w:b/>
          <w:bCs/>
          <w:lang w:val="en-US" w:eastAsia="zh-CN"/>
        </w:rPr>
        <w:t>5</w:t>
      </w:r>
      <w:r>
        <w:rPr>
          <w:rFonts w:hint="default"/>
          <w:b/>
          <w:bCs/>
          <w:lang w:val="en-US" w:eastAsia="zh-CN"/>
        </w:rPr>
        <w:t>.5.2</w:t>
      </w:r>
      <w:r>
        <w:rPr>
          <w:rFonts w:hint="eastAsia"/>
          <w:lang w:val="en-US" w:eastAsia="zh-CN"/>
        </w:rPr>
        <w:t xml:space="preserve">  </w:t>
      </w:r>
      <w:bookmarkEnd w:id="99"/>
      <w:r>
        <w:rPr>
          <w:rFonts w:hint="default"/>
          <w:lang w:val="en-US" w:eastAsia="zh-CN"/>
        </w:rPr>
        <w:t>物料垂直运输系统</w:t>
      </w:r>
    </w:p>
    <w:p w14:paraId="2A6ACC0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color w:val="auto"/>
          <w:highlight w:val="none"/>
          <w:lang w:val="en-US" w:eastAsia="zh-CN"/>
        </w:rPr>
      </w:pPr>
      <w:bookmarkStart w:id="100" w:name="_Toc32391"/>
      <w:r>
        <w:rPr>
          <w:rFonts w:hint="eastAsia" w:ascii="Times New Roman" w:hAnsi="Times New Roman" w:eastAsia="宋体" w:cs="Times New Roman"/>
          <w:color w:val="auto"/>
          <w:highlight w:val="none"/>
          <w:lang w:val="en-US" w:eastAsia="zh-CN"/>
        </w:rPr>
        <w:t>物料垂直运输系统应满足施工过程中材料、设备及人员的高效、安全转运需求。系统设计应符合《建筑机械使用安全技术规程》JGJ33及《施工升降机安全使用标准》GB/T 34023的有关规定。</w:t>
      </w:r>
    </w:p>
    <w:p w14:paraId="4D69BF3F">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b/>
          <w:bCs/>
          <w:color w:val="auto"/>
          <w:highlight w:val="none"/>
          <w:lang w:val="en-US" w:eastAsia="zh-CN"/>
        </w:rPr>
        <w:t>1</w:t>
      </w:r>
      <w:r>
        <w:rPr>
          <w:rFonts w:hint="eastAsia"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 xml:space="preserve"> 系统组成与选型</w:t>
      </w:r>
    </w:p>
    <w:p w14:paraId="4938E199">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eastAsia" w:ascii="Times New Roman" w:hAnsi="Times New Roman" w:eastAsia="宋体" w:cs="Times New Roman"/>
          <w:color w:val="auto"/>
          <w:highlight w:val="none"/>
          <w:lang w:val="en-US" w:eastAsia="zh-CN"/>
        </w:rPr>
        <w:t>物料垂直运输系统宜由施工升降机（施工电梯）、小型提升机、电动葫芦、集成行车及小型提拉装置等设备组合配置。</w:t>
      </w:r>
    </w:p>
    <w:p w14:paraId="26FCDA9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val="0"/>
          <w:bCs w:val="0"/>
          <w:color w:val="auto"/>
          <w:highlight w:val="none"/>
          <w:lang w:val="en-US" w:eastAsia="zh-CN"/>
        </w:rPr>
        <w:t>2</w:t>
      </w:r>
      <w:r>
        <w:rPr>
          <w:rFonts w:hint="eastAsia" w:ascii="Times New Roman" w:hAnsi="Times New Roman" w:eastAsia="宋体" w:cs="Times New Roman"/>
          <w:b/>
          <w:bCs/>
          <w:color w:val="auto"/>
          <w:highlight w:val="none"/>
          <w:lang w:val="en-US" w:eastAsia="zh-CN"/>
        </w:rPr>
        <w:t>）</w:t>
      </w:r>
      <w:r>
        <w:rPr>
          <w:rFonts w:hint="eastAsia" w:ascii="Times New Roman" w:hAnsi="Times New Roman" w:eastAsia="宋体" w:cs="Times New Roman"/>
          <w:color w:val="auto"/>
          <w:highlight w:val="none"/>
          <w:lang w:val="en-US" w:eastAsia="zh-CN"/>
        </w:rPr>
        <w:t>对于住宅类建筑，施工升降机主要用于楼层间的人员通行和物料转运，其停靠层宜与主体结构各楼层平齐，施工电梯吊笼宜可直达各施工作业层，满足人员到达作业位置的需求</w:t>
      </w:r>
      <w:r>
        <w:rPr>
          <w:rFonts w:hint="eastAsia" w:ascii="Times New Roman" w:hAnsi="Times New Roman" w:eastAsia="宋体" w:cs="Times New Roman"/>
          <w:color w:val="auto"/>
          <w:highlight w:val="none"/>
          <w:lang w:val="en-US" w:eastAsia="zh-CN"/>
        </w:rPr>
        <w:fldChar w:fldCharType="begin"/>
      </w:r>
      <w:r>
        <w:rPr>
          <w:rFonts w:hint="eastAsia" w:ascii="Times New Roman" w:hAnsi="Times New Roman" w:eastAsia="宋体" w:cs="Times New Roman"/>
          <w:color w:val="auto"/>
          <w:highlight w:val="none"/>
          <w:lang w:val="en-US" w:eastAsia="zh-CN"/>
        </w:rPr>
        <w:instrText xml:space="preserve"> HYPERLINK "http://dzb.jzsbs.com/epaper/jzsb/pc/content/202505/12/content_28824.html" \t "https://chat.deepseek.com/a/chat/s/_blank" </w:instrText>
      </w:r>
      <w:r>
        <w:rPr>
          <w:rFonts w:hint="eastAsia" w:ascii="Times New Roman" w:hAnsi="Times New Roman" w:eastAsia="宋体" w:cs="Times New Roman"/>
          <w:color w:val="auto"/>
          <w:highlight w:val="none"/>
          <w:lang w:val="en-US" w:eastAsia="zh-CN"/>
        </w:rPr>
        <w:fldChar w:fldCharType="separate"/>
      </w:r>
      <w:r>
        <w:rPr>
          <w:rFonts w:hint="eastAsia" w:ascii="Times New Roman" w:hAnsi="Times New Roman" w:eastAsia="宋体" w:cs="Times New Roman"/>
          <w:color w:val="auto"/>
          <w:highlight w:val="none"/>
          <w:lang w:val="en-US" w:eastAsia="zh-CN"/>
        </w:rPr>
        <w:fldChar w:fldCharType="end"/>
      </w:r>
      <w:r>
        <w:rPr>
          <w:rFonts w:hint="eastAsia" w:ascii="Times New Roman" w:hAnsi="Times New Roman" w:eastAsia="宋体" w:cs="Times New Roman"/>
          <w:color w:val="auto"/>
          <w:highlight w:val="none"/>
          <w:lang w:val="en-US" w:eastAsia="zh-CN"/>
        </w:rPr>
        <w:t>。</w:t>
      </w:r>
    </w:p>
    <w:p w14:paraId="5C08946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b/>
          <w:bCs/>
          <w:color w:val="auto"/>
          <w:highlight w:val="none"/>
          <w:lang w:val="en-US" w:eastAsia="zh-CN"/>
        </w:rPr>
        <w:t>2</w:t>
      </w:r>
      <w:r>
        <w:rPr>
          <w:rFonts w:hint="eastAsia"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施工</w:t>
      </w:r>
      <w:r>
        <w:rPr>
          <w:rFonts w:hint="eastAsia" w:cs="Times New Roman"/>
          <w:color w:val="auto"/>
          <w:highlight w:val="none"/>
          <w:lang w:val="en-US" w:eastAsia="zh-CN"/>
        </w:rPr>
        <w:t>升降机</w:t>
      </w:r>
      <w:r>
        <w:rPr>
          <w:rFonts w:hint="eastAsia" w:ascii="Times New Roman" w:hAnsi="Times New Roman" w:eastAsia="宋体" w:cs="Times New Roman"/>
          <w:color w:val="auto"/>
          <w:highlight w:val="none"/>
          <w:lang w:val="en-US" w:eastAsia="zh-CN"/>
        </w:rPr>
        <w:t>与集成平台的协同</w:t>
      </w:r>
    </w:p>
    <w:p w14:paraId="24B943C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eastAsia" w:ascii="Times New Roman" w:hAnsi="Times New Roman" w:eastAsia="宋体" w:cs="Times New Roman"/>
          <w:color w:val="auto"/>
          <w:highlight w:val="none"/>
          <w:lang w:val="en-US" w:eastAsia="zh-CN"/>
        </w:rPr>
        <w:t>施工</w:t>
      </w:r>
      <w:r>
        <w:rPr>
          <w:rFonts w:hint="eastAsia" w:cs="Times New Roman"/>
          <w:color w:val="auto"/>
          <w:highlight w:val="none"/>
          <w:lang w:val="en-US" w:eastAsia="zh-CN"/>
        </w:rPr>
        <w:t>升降机</w:t>
      </w:r>
      <w:r>
        <w:rPr>
          <w:rFonts w:hint="eastAsia" w:ascii="Times New Roman" w:hAnsi="Times New Roman" w:eastAsia="宋体" w:cs="Times New Roman"/>
          <w:color w:val="auto"/>
          <w:highlight w:val="none"/>
          <w:lang w:val="en-US" w:eastAsia="zh-CN"/>
        </w:rPr>
        <w:t>附墙架宜与集成平台结构协调布置。可在平台钢梁下方设置下挂钢架或C型组合桁架，为施工电梯提供附着连接点与通行空间，使电梯标准节可随平台同步爬升，减少附墙架反复装拆</w:t>
      </w:r>
      <w:r>
        <w:rPr>
          <w:rFonts w:hint="eastAsia" w:ascii="Times New Roman" w:hAnsi="Times New Roman" w:eastAsia="宋体" w:cs="Times New Roman"/>
          <w:color w:val="auto"/>
          <w:highlight w:val="none"/>
          <w:lang w:val="en-US" w:eastAsia="zh-CN"/>
        </w:rPr>
        <w:fldChar w:fldCharType="begin"/>
      </w:r>
      <w:r>
        <w:rPr>
          <w:rFonts w:hint="eastAsia" w:ascii="Times New Roman" w:hAnsi="Times New Roman" w:eastAsia="宋体" w:cs="Times New Roman"/>
          <w:color w:val="auto"/>
          <w:highlight w:val="none"/>
          <w:lang w:val="en-US" w:eastAsia="zh-CN"/>
        </w:rPr>
        <w:instrText xml:space="preserve"> HYPERLINK "https://patentimages.storage.googleapis.com/e1/d8/69/b9efbdcadc528d/CN108708546A.pdf" \l "1#1" \t "https://chat.deepseek.com/a/chat/s/_blank" </w:instrText>
      </w:r>
      <w:r>
        <w:rPr>
          <w:rFonts w:hint="eastAsia" w:ascii="Times New Roman" w:hAnsi="Times New Roman" w:eastAsia="宋体" w:cs="Times New Roman"/>
          <w:color w:val="auto"/>
          <w:highlight w:val="none"/>
          <w:lang w:val="en-US" w:eastAsia="zh-CN"/>
        </w:rPr>
        <w:fldChar w:fldCharType="separate"/>
      </w:r>
      <w:r>
        <w:rPr>
          <w:rFonts w:hint="eastAsia" w:ascii="Times New Roman" w:hAnsi="Times New Roman" w:eastAsia="宋体" w:cs="Times New Roman"/>
          <w:color w:val="auto"/>
          <w:highlight w:val="none"/>
          <w:lang w:val="en-US" w:eastAsia="zh-CN"/>
        </w:rPr>
        <w:fldChar w:fldCharType="end"/>
      </w:r>
      <w:r>
        <w:rPr>
          <w:rFonts w:hint="eastAsia" w:ascii="Times New Roman" w:hAnsi="Times New Roman" w:eastAsia="宋体" w:cs="Times New Roman"/>
          <w:color w:val="auto"/>
          <w:highlight w:val="none"/>
          <w:lang w:val="en-US" w:eastAsia="zh-CN"/>
        </w:rPr>
        <w:fldChar w:fldCharType="begin"/>
      </w:r>
      <w:r>
        <w:rPr>
          <w:rFonts w:hint="eastAsia" w:ascii="Times New Roman" w:hAnsi="Times New Roman" w:eastAsia="宋体" w:cs="Times New Roman"/>
          <w:color w:val="auto"/>
          <w:highlight w:val="none"/>
          <w:lang w:val="en-US" w:eastAsia="zh-CN"/>
        </w:rPr>
        <w:instrText xml:space="preserve"> HYPERLINK "https://read.cnki.net/web/Conference/Article/SGJS202312004185.html" \t "https://chat.deepseek.com/a/chat/s/_blank" </w:instrText>
      </w:r>
      <w:r>
        <w:rPr>
          <w:rFonts w:hint="eastAsia" w:ascii="Times New Roman" w:hAnsi="Times New Roman" w:eastAsia="宋体" w:cs="Times New Roman"/>
          <w:color w:val="auto"/>
          <w:highlight w:val="none"/>
          <w:lang w:val="en-US" w:eastAsia="zh-CN"/>
        </w:rPr>
        <w:fldChar w:fldCharType="separate"/>
      </w:r>
      <w:r>
        <w:rPr>
          <w:rFonts w:hint="eastAsia" w:ascii="Times New Roman" w:hAnsi="Times New Roman" w:eastAsia="宋体" w:cs="Times New Roman"/>
          <w:color w:val="auto"/>
          <w:highlight w:val="none"/>
          <w:lang w:val="en-US" w:eastAsia="zh-CN"/>
        </w:rPr>
        <w:fldChar w:fldCharType="end"/>
      </w:r>
      <w:r>
        <w:rPr>
          <w:rFonts w:hint="eastAsia" w:ascii="Times New Roman" w:hAnsi="Times New Roman" w:eastAsia="宋体" w:cs="Times New Roman"/>
          <w:color w:val="auto"/>
          <w:highlight w:val="none"/>
          <w:lang w:val="en-US" w:eastAsia="zh-CN"/>
        </w:rPr>
        <w:t>。</w:t>
      </w:r>
    </w:p>
    <w:p w14:paraId="7EEECD9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eastAsia" w:ascii="Times New Roman" w:hAnsi="Times New Roman" w:eastAsia="宋体" w:cs="Times New Roman"/>
          <w:color w:val="auto"/>
          <w:highlight w:val="none"/>
          <w:lang w:val="en-US" w:eastAsia="zh-CN"/>
        </w:rPr>
        <w:t>当建筑墙体截面内收时，施工电梯附墙装置应采用可调式设计（如可调螺杆、滚动附墙架等），适应墙体变化，保证附墙点始终可靠</w:t>
      </w:r>
      <w:r>
        <w:rPr>
          <w:rFonts w:hint="eastAsia" w:ascii="Times New Roman" w:hAnsi="Times New Roman" w:eastAsia="宋体" w:cs="Times New Roman"/>
          <w:color w:val="auto"/>
          <w:highlight w:val="none"/>
          <w:lang w:val="en-US" w:eastAsia="zh-CN"/>
        </w:rPr>
        <w:fldChar w:fldCharType="begin"/>
      </w:r>
      <w:r>
        <w:rPr>
          <w:rFonts w:hint="eastAsia" w:ascii="Times New Roman" w:hAnsi="Times New Roman" w:eastAsia="宋体" w:cs="Times New Roman"/>
          <w:color w:val="auto"/>
          <w:highlight w:val="none"/>
          <w:lang w:val="en-US" w:eastAsia="zh-CN"/>
        </w:rPr>
        <w:instrText xml:space="preserve"> HYPERLINK "https://www.fid-move.de/en/search/id/epa:CN114229653/Construction-elevator-wall-attaching-device-integrated?cHash=0d30e7360623d11f346acb71d9a1ea42" \t "https://chat.deepseek.com/a/chat/s/_blank" </w:instrText>
      </w:r>
      <w:r>
        <w:rPr>
          <w:rFonts w:hint="eastAsia" w:ascii="Times New Roman" w:hAnsi="Times New Roman" w:eastAsia="宋体" w:cs="Times New Roman"/>
          <w:color w:val="auto"/>
          <w:highlight w:val="none"/>
          <w:lang w:val="en-US" w:eastAsia="zh-CN"/>
        </w:rPr>
        <w:fldChar w:fldCharType="separate"/>
      </w:r>
      <w:r>
        <w:rPr>
          <w:rFonts w:hint="eastAsia" w:ascii="Times New Roman" w:hAnsi="Times New Roman" w:eastAsia="宋体" w:cs="Times New Roman"/>
          <w:color w:val="auto"/>
          <w:highlight w:val="none"/>
          <w:lang w:val="en-US" w:eastAsia="zh-CN"/>
        </w:rPr>
        <w:fldChar w:fldCharType="end"/>
      </w:r>
      <w:r>
        <w:rPr>
          <w:rFonts w:hint="eastAsia" w:ascii="Times New Roman" w:hAnsi="Times New Roman" w:eastAsia="宋体" w:cs="Times New Roman"/>
          <w:color w:val="auto"/>
          <w:highlight w:val="none"/>
          <w:lang w:val="en-US" w:eastAsia="zh-CN"/>
        </w:rPr>
        <w:t>。</w:t>
      </w:r>
    </w:p>
    <w:p w14:paraId="6A2276A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b/>
          <w:bCs/>
          <w:color w:val="auto"/>
          <w:highlight w:val="none"/>
          <w:lang w:val="en-US" w:eastAsia="zh-CN"/>
        </w:rPr>
        <w:t>3</w:t>
      </w:r>
      <w:r>
        <w:rPr>
          <w:rFonts w:hint="eastAsia"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限位保护与安全联锁</w:t>
      </w:r>
    </w:p>
    <w:p w14:paraId="2B11701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eastAsia" w:ascii="Times New Roman" w:hAnsi="Times New Roman" w:eastAsia="宋体" w:cs="Times New Roman"/>
          <w:color w:val="auto"/>
          <w:highlight w:val="none"/>
          <w:lang w:val="en-US" w:eastAsia="zh-CN"/>
        </w:rPr>
        <w:t>所有提升设备应设置上、下限位保护装置和防冲顶装置，确保运行行程安全可控。</w:t>
      </w:r>
    </w:p>
    <w:p w14:paraId="6DE3014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eastAsia" w:ascii="Times New Roman" w:hAnsi="Times New Roman" w:eastAsia="宋体" w:cs="Times New Roman"/>
          <w:color w:val="auto"/>
          <w:highlight w:val="none"/>
          <w:lang w:val="en-US" w:eastAsia="zh-CN"/>
        </w:rPr>
        <w:t>施工</w:t>
      </w:r>
      <w:r>
        <w:rPr>
          <w:rFonts w:hint="eastAsia" w:cs="Times New Roman"/>
          <w:color w:val="auto"/>
          <w:highlight w:val="none"/>
          <w:lang w:val="en-US" w:eastAsia="zh-CN"/>
        </w:rPr>
        <w:t>升降机</w:t>
      </w:r>
      <w:r>
        <w:rPr>
          <w:rFonts w:hint="eastAsia" w:ascii="Times New Roman" w:hAnsi="Times New Roman" w:eastAsia="宋体" w:cs="Times New Roman"/>
          <w:color w:val="auto"/>
          <w:highlight w:val="none"/>
          <w:lang w:val="en-US" w:eastAsia="zh-CN"/>
        </w:rPr>
        <w:t>的层门、围栏门、吊笼门应设置机械或电气联锁装置，门未关闭到位时设备不得启动运行。</w:t>
      </w:r>
    </w:p>
    <w:p w14:paraId="76787B3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3）</w:t>
      </w:r>
      <w:r>
        <w:rPr>
          <w:rFonts w:hint="eastAsia" w:ascii="Times New Roman" w:hAnsi="Times New Roman" w:eastAsia="宋体" w:cs="Times New Roman"/>
          <w:color w:val="auto"/>
          <w:highlight w:val="none"/>
          <w:lang w:val="en-US" w:eastAsia="zh-CN"/>
        </w:rPr>
        <w:t>各运输设备之间、运输设备与集成平台结构之间应设置安全联锁，防止碰撞和超载运行。荷载监控系统应与提升设备联动，超载时自动报警并停机。</w:t>
      </w:r>
    </w:p>
    <w:p w14:paraId="1D059A5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bCs/>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4）</w:t>
      </w:r>
      <w:r>
        <w:rPr>
          <w:rFonts w:hint="eastAsia" w:ascii="Times New Roman" w:hAnsi="Times New Roman" w:eastAsia="宋体" w:cs="Times New Roman"/>
          <w:color w:val="auto"/>
          <w:highlight w:val="none"/>
          <w:lang w:val="en-US" w:eastAsia="zh-CN"/>
        </w:rPr>
        <w:t>施工</w:t>
      </w:r>
      <w:r>
        <w:rPr>
          <w:rFonts w:hint="eastAsia" w:cs="Times New Roman"/>
          <w:color w:val="auto"/>
          <w:highlight w:val="none"/>
          <w:lang w:val="en-US" w:eastAsia="zh-CN"/>
        </w:rPr>
        <w:t>升降机</w:t>
      </w:r>
      <w:r>
        <w:rPr>
          <w:rFonts w:hint="eastAsia" w:ascii="Times New Roman" w:hAnsi="Times New Roman" w:eastAsia="宋体" w:cs="Times New Roman"/>
          <w:color w:val="auto"/>
          <w:highlight w:val="none"/>
          <w:lang w:val="en-US" w:eastAsia="zh-CN"/>
        </w:rPr>
        <w:t>与集成平台的连接节点应设置防松脱装置，定期检查紧固件状态。</w:t>
      </w:r>
    </w:p>
    <w:p w14:paraId="7A602E98">
      <w:pPr>
        <w:bidi w:val="0"/>
        <w:rPr>
          <w:rFonts w:hint="eastAsia"/>
          <w:lang w:val="en-US" w:eastAsia="zh-CN"/>
        </w:rPr>
      </w:pPr>
      <w:r>
        <w:rPr>
          <w:rFonts w:hint="eastAsia"/>
          <w:b/>
          <w:bCs/>
          <w:lang w:val="en-US" w:eastAsia="zh-CN"/>
        </w:rPr>
        <w:t>5</w:t>
      </w:r>
      <w:r>
        <w:rPr>
          <w:rFonts w:hint="default"/>
          <w:b/>
          <w:bCs/>
          <w:lang w:val="en-US" w:eastAsia="zh-CN"/>
        </w:rPr>
        <w:t>.5.3</w:t>
      </w:r>
      <w:r>
        <w:rPr>
          <w:rFonts w:hint="eastAsia"/>
          <w:lang w:val="en-US" w:eastAsia="zh-CN"/>
        </w:rPr>
        <w:t xml:space="preserve">  </w:t>
      </w:r>
      <w:bookmarkEnd w:id="100"/>
      <w:r>
        <w:rPr>
          <w:rFonts w:hint="eastAsia"/>
          <w:lang w:val="en-US" w:eastAsia="zh-CN"/>
        </w:rPr>
        <w:t>智能设施装备集成</w:t>
      </w:r>
    </w:p>
    <w:p w14:paraId="34A0ED7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集成平台预留智能装备的集成接口，满足机械化、自动化作业需求</w:t>
      </w:r>
      <w:r>
        <w:rPr>
          <w:rFonts w:hint="eastAsia" w:ascii="Times New Roman" w:hAnsi="Times New Roman" w:eastAsia="宋体" w:cs="Times New Roman"/>
          <w:color w:val="auto"/>
          <w:highlight w:val="none"/>
          <w:lang w:val="en-US" w:eastAsia="zh-CN"/>
        </w:rPr>
        <w:fldChar w:fldCharType="begin"/>
      </w:r>
      <w:r>
        <w:rPr>
          <w:rFonts w:hint="eastAsia" w:ascii="Times New Roman" w:hAnsi="Times New Roman" w:eastAsia="宋体" w:cs="Times New Roman"/>
          <w:color w:val="auto"/>
          <w:highlight w:val="none"/>
          <w:lang w:val="en-US" w:eastAsia="zh-CN"/>
        </w:rPr>
        <w:instrText xml:space="preserve"> HYPERLINK "https://www.ccsn.org.cn/DownFile.axd?ID=73d01233-0ab0-42ff-aebe-bf84345a3fdb&amp;Type=ArtAttchmentFileDown" \l "2#1" \t "https://chat.deepseek.com/a/chat/s/_blank" </w:instrText>
      </w:r>
      <w:r>
        <w:rPr>
          <w:rFonts w:hint="eastAsia" w:ascii="Times New Roman" w:hAnsi="Times New Roman" w:eastAsia="宋体" w:cs="Times New Roman"/>
          <w:color w:val="auto"/>
          <w:highlight w:val="none"/>
          <w:lang w:val="en-US" w:eastAsia="zh-CN"/>
        </w:rPr>
        <w:fldChar w:fldCharType="separate"/>
      </w:r>
      <w:r>
        <w:rPr>
          <w:rFonts w:hint="eastAsia" w:ascii="Times New Roman" w:hAnsi="Times New Roman" w:eastAsia="宋体" w:cs="Times New Roman"/>
          <w:color w:val="auto"/>
          <w:highlight w:val="none"/>
          <w:lang w:val="en-US" w:eastAsia="zh-CN"/>
        </w:rPr>
        <w:fldChar w:fldCharType="end"/>
      </w:r>
      <w:r>
        <w:rPr>
          <w:rFonts w:hint="eastAsia" w:ascii="Times New Roman" w:hAnsi="Times New Roman" w:eastAsia="宋体" w:cs="Times New Roman"/>
          <w:color w:val="auto"/>
          <w:highlight w:val="none"/>
          <w:lang w:val="en-US" w:eastAsia="zh-CN"/>
        </w:rPr>
        <w:fldChar w:fldCharType="begin"/>
      </w:r>
      <w:r>
        <w:rPr>
          <w:rFonts w:hint="eastAsia" w:ascii="Times New Roman" w:hAnsi="Times New Roman" w:eastAsia="宋体" w:cs="Times New Roman"/>
          <w:color w:val="auto"/>
          <w:highlight w:val="none"/>
          <w:lang w:val="en-US" w:eastAsia="zh-CN"/>
        </w:rPr>
        <w:instrText xml:space="preserve"> HYPERLINK "http://m.precast.com.cn/index.php/Home/Zx/ct/id/31311" \t "https://chat.deepseek.com/a/chat/s/_blank" </w:instrText>
      </w:r>
      <w:r>
        <w:rPr>
          <w:rFonts w:hint="eastAsia" w:ascii="Times New Roman" w:hAnsi="Times New Roman" w:eastAsia="宋体" w:cs="Times New Roman"/>
          <w:color w:val="auto"/>
          <w:highlight w:val="none"/>
          <w:lang w:val="en-US" w:eastAsia="zh-CN"/>
        </w:rPr>
        <w:fldChar w:fldCharType="separate"/>
      </w:r>
      <w:r>
        <w:rPr>
          <w:rFonts w:hint="eastAsia" w:ascii="Times New Roman" w:hAnsi="Times New Roman" w:eastAsia="宋体" w:cs="Times New Roman"/>
          <w:color w:val="auto"/>
          <w:highlight w:val="none"/>
          <w:lang w:val="en-US" w:eastAsia="zh-CN"/>
        </w:rPr>
        <w:fldChar w:fldCharType="end"/>
      </w:r>
      <w:r>
        <w:rPr>
          <w:rFonts w:hint="eastAsia" w:ascii="Times New Roman" w:hAnsi="Times New Roman" w:eastAsia="宋体" w:cs="Times New Roman"/>
          <w:color w:val="auto"/>
          <w:highlight w:val="none"/>
          <w:lang w:val="en-US" w:eastAsia="zh-CN"/>
        </w:rPr>
        <w:t>。</w:t>
      </w:r>
    </w:p>
    <w:p w14:paraId="5D39F7D1">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b/>
          <w:bCs/>
          <w:color w:val="auto"/>
          <w:highlight w:val="none"/>
          <w:lang w:val="en-US" w:eastAsia="zh-CN"/>
        </w:rPr>
        <w:t>1</w:t>
      </w:r>
      <w:r>
        <w:rPr>
          <w:rFonts w:hint="eastAsia"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布料机</w:t>
      </w:r>
    </w:p>
    <w:p w14:paraId="10A234F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eastAsia" w:ascii="Times New Roman" w:hAnsi="Times New Roman" w:eastAsia="宋体" w:cs="Times New Roman"/>
          <w:color w:val="auto"/>
          <w:highlight w:val="none"/>
          <w:lang w:val="en-US" w:eastAsia="zh-CN"/>
        </w:rPr>
        <w:t>集成液压布料机，浇筑范围应覆盖整个建筑结构平面。</w:t>
      </w:r>
    </w:p>
    <w:p w14:paraId="10BABB63">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eastAsia" w:ascii="Times New Roman" w:hAnsi="Times New Roman" w:eastAsia="宋体" w:cs="Times New Roman"/>
          <w:color w:val="auto"/>
          <w:highlight w:val="none"/>
          <w:lang w:val="en-US" w:eastAsia="zh-CN"/>
        </w:rPr>
        <w:t>布料机所在位置的钢平台桁架应进行加强处理，确保承载力满足设计要求</w:t>
      </w:r>
      <w:r>
        <w:rPr>
          <w:rFonts w:hint="eastAsia" w:ascii="Times New Roman" w:hAnsi="Times New Roman" w:eastAsia="宋体" w:cs="Times New Roman"/>
          <w:color w:val="auto"/>
          <w:highlight w:val="none"/>
          <w:lang w:val="en-US" w:eastAsia="zh-CN"/>
        </w:rPr>
        <w:fldChar w:fldCharType="begin"/>
      </w:r>
      <w:r>
        <w:rPr>
          <w:rFonts w:hint="eastAsia" w:ascii="Times New Roman" w:hAnsi="Times New Roman" w:eastAsia="宋体" w:cs="Times New Roman"/>
          <w:color w:val="auto"/>
          <w:highlight w:val="none"/>
          <w:lang w:val="en-US" w:eastAsia="zh-CN"/>
        </w:rPr>
        <w:instrText xml:space="preserve"> HYPERLINK "http://www.cecs.org.cn/uploads/soft/180903/1-1PZ3150534.pdf" \l "8#2" \t "https://chat.deepseek.com/a/chat/s/_blank" </w:instrText>
      </w:r>
      <w:r>
        <w:rPr>
          <w:rFonts w:hint="eastAsia" w:ascii="Times New Roman" w:hAnsi="Times New Roman" w:eastAsia="宋体" w:cs="Times New Roman"/>
          <w:color w:val="auto"/>
          <w:highlight w:val="none"/>
          <w:lang w:val="en-US" w:eastAsia="zh-CN"/>
        </w:rPr>
        <w:fldChar w:fldCharType="separate"/>
      </w:r>
      <w:r>
        <w:rPr>
          <w:rFonts w:hint="eastAsia" w:ascii="Times New Roman" w:hAnsi="Times New Roman" w:eastAsia="宋体" w:cs="Times New Roman"/>
          <w:color w:val="auto"/>
          <w:highlight w:val="none"/>
          <w:lang w:val="en-US" w:eastAsia="zh-CN"/>
        </w:rPr>
        <w:fldChar w:fldCharType="end"/>
      </w:r>
      <w:r>
        <w:rPr>
          <w:rFonts w:hint="eastAsia" w:ascii="Times New Roman" w:hAnsi="Times New Roman" w:eastAsia="宋体" w:cs="Times New Roman"/>
          <w:color w:val="auto"/>
          <w:highlight w:val="none"/>
          <w:lang w:val="en-US" w:eastAsia="zh-CN"/>
        </w:rPr>
        <w:t>。</w:t>
      </w:r>
    </w:p>
    <w:p w14:paraId="2573859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b/>
          <w:bCs/>
          <w:color w:val="auto"/>
          <w:highlight w:val="none"/>
          <w:lang w:val="en-US" w:eastAsia="zh-CN"/>
        </w:rPr>
        <w:t>2</w:t>
      </w:r>
      <w:r>
        <w:rPr>
          <w:rFonts w:hint="eastAsia"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 xml:space="preserve"> 开合天幕雨棚</w:t>
      </w:r>
    </w:p>
    <w:p w14:paraId="2392F0E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eastAsia" w:ascii="Times New Roman" w:hAnsi="Times New Roman" w:eastAsia="宋体" w:cs="Times New Roman"/>
          <w:color w:val="auto"/>
          <w:highlight w:val="none"/>
          <w:lang w:val="en-US" w:eastAsia="zh-CN"/>
        </w:rPr>
        <w:t>宜在</w:t>
      </w:r>
      <w:r>
        <w:rPr>
          <w:rFonts w:hint="eastAsia" w:cs="Times New Roman"/>
          <w:color w:val="auto"/>
          <w:highlight w:val="none"/>
          <w:lang w:val="en-US" w:eastAsia="zh-CN"/>
        </w:rPr>
        <w:t>非集成堆放物料的</w:t>
      </w:r>
      <w:r>
        <w:rPr>
          <w:rFonts w:hint="eastAsia" w:ascii="Times New Roman" w:hAnsi="Times New Roman" w:eastAsia="宋体" w:cs="Times New Roman"/>
          <w:color w:val="auto"/>
          <w:highlight w:val="none"/>
          <w:lang w:val="en-US" w:eastAsia="zh-CN"/>
        </w:rPr>
        <w:t>钢平台顶部集成开合天幕雨棚，覆盖整个结构施工层，为施工作业提供全天候防护。</w:t>
      </w:r>
    </w:p>
    <w:p w14:paraId="212F9D41">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eastAsia" w:ascii="Times New Roman" w:hAnsi="Times New Roman" w:eastAsia="宋体" w:cs="Times New Roman"/>
          <w:color w:val="auto"/>
          <w:highlight w:val="none"/>
          <w:lang w:val="en-US" w:eastAsia="zh-CN"/>
        </w:rPr>
        <w:t>雨棚设计应考虑排水方向，并可根据需求设置雨水收集再利用系统。</w:t>
      </w:r>
    </w:p>
    <w:p w14:paraId="6B3DBAE0">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b/>
          <w:bCs/>
          <w:color w:val="auto"/>
          <w:highlight w:val="none"/>
          <w:lang w:val="en-US" w:eastAsia="zh-CN"/>
        </w:rPr>
        <w:t>3</w:t>
      </w:r>
      <w:r>
        <w:rPr>
          <w:rFonts w:hint="eastAsia"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智能施工装备及建筑机器人集成接口：</w:t>
      </w:r>
    </w:p>
    <w:p w14:paraId="25BDD04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eastAsia" w:ascii="Times New Roman" w:hAnsi="Times New Roman" w:eastAsia="宋体" w:cs="Times New Roman"/>
          <w:color w:val="auto"/>
          <w:highlight w:val="none"/>
          <w:lang w:val="en-US" w:eastAsia="zh-CN"/>
        </w:rPr>
        <w:t>集成平台应为智能施工装备和建筑机器人提供机械接口、电气接口、数据接口和安全联锁接口。</w:t>
      </w:r>
    </w:p>
    <w:p w14:paraId="0D9D049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eastAsia" w:ascii="Times New Roman" w:hAnsi="Times New Roman" w:eastAsia="宋体" w:cs="Times New Roman"/>
          <w:color w:val="auto"/>
          <w:highlight w:val="none"/>
          <w:lang w:val="en-US" w:eastAsia="zh-CN"/>
        </w:rPr>
        <w:t>接口应标准化、模块化，便于不同智能装备的快速安装和更换。</w:t>
      </w:r>
    </w:p>
    <w:p w14:paraId="09E7C7A1">
      <w:pPr>
        <w:bidi w:val="0"/>
        <w:rPr>
          <w:rFonts w:hint="eastAsia"/>
          <w:lang w:val="en-US" w:eastAsia="zh-CN"/>
        </w:rPr>
      </w:pPr>
      <w:r>
        <w:rPr>
          <w:rFonts w:hint="eastAsia"/>
          <w:b/>
          <w:bCs/>
          <w:lang w:val="en-US" w:eastAsia="zh-CN"/>
        </w:rPr>
        <w:t>5</w:t>
      </w:r>
      <w:r>
        <w:rPr>
          <w:rFonts w:hint="default"/>
          <w:b/>
          <w:bCs/>
          <w:lang w:val="en-US" w:eastAsia="zh-CN"/>
        </w:rPr>
        <w:t>.5.</w:t>
      </w:r>
      <w:r>
        <w:rPr>
          <w:rFonts w:hint="eastAsia"/>
          <w:b/>
          <w:bCs/>
          <w:lang w:val="en-US" w:eastAsia="zh-CN"/>
        </w:rPr>
        <w:t>4</w:t>
      </w:r>
      <w:r>
        <w:rPr>
          <w:rFonts w:hint="eastAsia"/>
          <w:lang w:val="en-US" w:eastAsia="zh-CN"/>
        </w:rPr>
        <w:t xml:space="preserve">  挂架系统</w:t>
      </w:r>
    </w:p>
    <w:p w14:paraId="26BA47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挂架系统设计应符合现行国家标准《施工脚手架通用规范》GB 55023的规定</w:t>
      </w: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HYPERLINK "https://www.ccsn.org.cn/DownFile.axd?ID=73d01233-0ab0-42ff-aebe-bf84345a3fdb&amp;Type=ArtAttchmentFileDown" \l "2#1" \t "https://chat.deepseek.com/a/chat/s/_blank"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w:t>
      </w:r>
    </w:p>
    <w:p w14:paraId="031274E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1</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外挂架</w:t>
      </w:r>
    </w:p>
    <w:p w14:paraId="61770DF7">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default" w:ascii="Times New Roman" w:hAnsi="Times New Roman" w:eastAsia="宋体" w:cs="Times New Roman"/>
          <w:color w:val="auto"/>
          <w:highlight w:val="none"/>
          <w:lang w:val="en-US" w:eastAsia="zh-CN"/>
        </w:rPr>
        <w:t>外挂架宜采用下挂方式连接于钢平台桁架下弦杆，并应沿建筑外墙连续布置。</w:t>
      </w:r>
    </w:p>
    <w:p w14:paraId="660CFC1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default" w:ascii="Times New Roman" w:hAnsi="Times New Roman" w:eastAsia="宋体" w:cs="Times New Roman"/>
          <w:color w:val="auto"/>
          <w:highlight w:val="none"/>
          <w:lang w:val="en-US" w:eastAsia="zh-CN"/>
        </w:rPr>
        <w:t>挂架立面覆盖高度宜为4～8个结构标准层，为外墙施工提供作业平台和安全防护。</w:t>
      </w:r>
    </w:p>
    <w:p w14:paraId="610B7F3E">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3）</w:t>
      </w:r>
      <w:r>
        <w:rPr>
          <w:rFonts w:hint="default" w:ascii="Times New Roman" w:hAnsi="Times New Roman" w:eastAsia="宋体" w:cs="Times New Roman"/>
          <w:color w:val="auto"/>
          <w:highlight w:val="none"/>
          <w:lang w:val="en-US" w:eastAsia="zh-CN"/>
        </w:rPr>
        <w:t>竖向主框架步距不</w:t>
      </w:r>
      <w:r>
        <w:rPr>
          <w:rFonts w:hint="eastAsia" w:ascii="Times New Roman" w:hAnsi="Times New Roman" w:eastAsia="宋体" w:cs="Times New Roman"/>
          <w:color w:val="auto"/>
          <w:highlight w:val="none"/>
          <w:lang w:val="en-US" w:eastAsia="zh-CN"/>
        </w:rPr>
        <w:t>宜</w:t>
      </w:r>
      <w:r>
        <w:rPr>
          <w:rFonts w:hint="default" w:ascii="Times New Roman" w:hAnsi="Times New Roman" w:eastAsia="宋体" w:cs="Times New Roman"/>
          <w:color w:val="auto"/>
          <w:highlight w:val="none"/>
          <w:lang w:val="en-US" w:eastAsia="zh-CN"/>
        </w:rPr>
        <w:t>大于</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US" w:eastAsia="zh-CN"/>
        </w:rPr>
        <w:t>.0m，立杆纵距不应大于2.0m；</w:t>
      </w:r>
    </w:p>
    <w:p w14:paraId="2ADC0409">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（4</w:t>
      </w:r>
      <w:r>
        <w:rPr>
          <w:rFonts w:hint="eastAsia" w:ascii="Times New Roman" w:hAnsi="Times New Roman" w:eastAsia="宋体" w:cs="Times New Roman"/>
          <w:b/>
          <w:bCs/>
          <w:color w:val="auto"/>
          <w:highlight w:val="none"/>
          <w:lang w:val="en-US" w:eastAsia="zh-CN"/>
        </w:rPr>
        <w:t>）</w:t>
      </w:r>
      <w:r>
        <w:rPr>
          <w:rFonts w:hint="eastAsia" w:cs="Times New Roman"/>
          <w:b w:val="0"/>
          <w:bCs w:val="0"/>
          <w:color w:val="auto"/>
          <w:highlight w:val="none"/>
          <w:lang w:val="en-US" w:eastAsia="zh-CN"/>
        </w:rPr>
        <w:t>挂</w:t>
      </w:r>
      <w:r>
        <w:rPr>
          <w:rFonts w:hint="eastAsia" w:ascii="Times New Roman" w:hAnsi="Times New Roman" w:eastAsia="宋体" w:cs="Times New Roman"/>
          <w:color w:val="auto"/>
          <w:highlight w:val="none"/>
          <w:lang w:val="en-US" w:eastAsia="zh-CN"/>
        </w:rPr>
        <w:t>架应根据受力特点专项设计，经结构验算满足稳定及变形要求时可优化构造，但不得违反《施工脚手架通用规范》GB55023强制性规定；</w:t>
      </w:r>
    </w:p>
    <w:p w14:paraId="19ABF863">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（5</w:t>
      </w:r>
      <w:r>
        <w:rPr>
          <w:rFonts w:hint="eastAsia" w:ascii="Times New Roman" w:hAnsi="Times New Roman" w:eastAsia="宋体" w:cs="Times New Roman"/>
          <w:b/>
          <w:bCs/>
          <w:color w:val="auto"/>
          <w:highlight w:val="none"/>
          <w:lang w:val="en-US" w:eastAsia="zh-CN"/>
        </w:rPr>
        <w:t>）</w:t>
      </w:r>
      <w:r>
        <w:rPr>
          <w:rFonts w:hint="eastAsia" w:ascii="Times New Roman" w:hAnsi="Times New Roman" w:eastAsia="宋体" w:cs="Times New Roman"/>
          <w:color w:val="auto"/>
          <w:highlight w:val="none"/>
          <w:lang w:val="en-US" w:eastAsia="zh-CN"/>
        </w:rPr>
        <w:t>挂架</w:t>
      </w:r>
      <w:r>
        <w:rPr>
          <w:rFonts w:hint="eastAsia" w:cs="Times New Roman"/>
          <w:color w:val="auto"/>
          <w:highlight w:val="none"/>
          <w:lang w:val="en-US" w:eastAsia="zh-CN"/>
        </w:rPr>
        <w:t>宜</w:t>
      </w:r>
      <w:r>
        <w:rPr>
          <w:rFonts w:hint="eastAsia" w:ascii="Times New Roman" w:hAnsi="Times New Roman" w:eastAsia="宋体" w:cs="Times New Roman"/>
          <w:color w:val="auto"/>
          <w:highlight w:val="none"/>
          <w:lang w:val="en-US" w:eastAsia="zh-CN"/>
        </w:rPr>
        <w:t>为先安装、后拆除体系；</w:t>
      </w:r>
    </w:p>
    <w:p w14:paraId="37ED692F">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（6</w:t>
      </w:r>
      <w:r>
        <w:rPr>
          <w:rFonts w:hint="eastAsia" w:ascii="Times New Roman" w:hAnsi="Times New Roman" w:eastAsia="宋体" w:cs="Times New Roman"/>
          <w:b/>
          <w:bCs/>
          <w:color w:val="auto"/>
          <w:highlight w:val="none"/>
          <w:lang w:val="en-US" w:eastAsia="zh-CN"/>
        </w:rPr>
        <w:t>）</w:t>
      </w:r>
      <w:r>
        <w:rPr>
          <w:rFonts w:hint="eastAsia" w:ascii="Times New Roman" w:hAnsi="Times New Roman" w:eastAsia="宋体" w:cs="Times New Roman"/>
          <w:color w:val="auto"/>
          <w:highlight w:val="none"/>
          <w:lang w:val="en-US" w:eastAsia="zh-CN"/>
        </w:rPr>
        <w:t>挂架</w:t>
      </w:r>
      <w:r>
        <w:rPr>
          <w:rFonts w:hint="eastAsia" w:cs="Times New Roman"/>
          <w:color w:val="auto"/>
          <w:highlight w:val="none"/>
          <w:lang w:val="en-US" w:eastAsia="zh-CN"/>
        </w:rPr>
        <w:t>宜</w:t>
      </w:r>
      <w:r>
        <w:rPr>
          <w:rFonts w:hint="eastAsia" w:ascii="Times New Roman" w:hAnsi="Times New Roman" w:eastAsia="宋体" w:cs="Times New Roman"/>
          <w:color w:val="auto"/>
          <w:highlight w:val="none"/>
          <w:lang w:val="en-US" w:eastAsia="zh-CN"/>
        </w:rPr>
        <w:t>留设与墙体硬性连接构件</w:t>
      </w:r>
      <w:r>
        <w:rPr>
          <w:rFonts w:hint="eastAsia" w:cs="Times New Roman"/>
          <w:color w:val="auto"/>
          <w:highlight w:val="none"/>
          <w:lang w:val="en-US" w:eastAsia="zh-CN"/>
        </w:rPr>
        <w:t>。</w:t>
      </w:r>
    </w:p>
    <w:p w14:paraId="39B2EE67">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下吊平台</w:t>
      </w:r>
    </w:p>
    <w:p w14:paraId="4AAD32E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default" w:ascii="Times New Roman" w:hAnsi="Times New Roman" w:eastAsia="宋体" w:cs="Times New Roman"/>
          <w:color w:val="auto"/>
          <w:highlight w:val="none"/>
          <w:lang w:val="en-US" w:eastAsia="zh-CN"/>
        </w:rPr>
        <w:t>下吊平台应采用吊杆和吊索悬挂于钢平台系统下方。</w:t>
      </w:r>
    </w:p>
    <w:p w14:paraId="5F62D26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default" w:ascii="Times New Roman" w:hAnsi="Times New Roman" w:eastAsia="宋体" w:cs="Times New Roman"/>
          <w:color w:val="auto"/>
          <w:highlight w:val="none"/>
          <w:lang w:val="en-US" w:eastAsia="zh-CN"/>
        </w:rPr>
        <w:t>吊杆、吊索的安全系数不应小于6</w:t>
      </w: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HYPERLINK "https://www.ccsn.org.cn/DownFile.axd?ID=73d01233-0ab0-42ff-aebe-bf84345a3fdb&amp;Type=ArtAttchmentFileDown" \l "2#1" \t "https://chat.deepseek.com/a/chat/s/_blank"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w:t>
      </w:r>
    </w:p>
    <w:p w14:paraId="484E4EE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3</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模板挂接</w:t>
      </w:r>
    </w:p>
    <w:p w14:paraId="0AD0474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default" w:ascii="Times New Roman" w:hAnsi="Times New Roman" w:eastAsia="宋体" w:cs="Times New Roman"/>
          <w:color w:val="auto"/>
          <w:highlight w:val="none"/>
          <w:lang w:val="en-US" w:eastAsia="zh-CN"/>
        </w:rPr>
        <w:t>挂接系统应设置模板挂接点，满足大钢模板或铝合金模板的吊挂需求。</w:t>
      </w:r>
    </w:p>
    <w:p w14:paraId="4745C51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default" w:ascii="Times New Roman" w:hAnsi="Times New Roman" w:eastAsia="宋体" w:cs="Times New Roman"/>
          <w:color w:val="auto"/>
          <w:highlight w:val="none"/>
          <w:lang w:val="en-US" w:eastAsia="zh-CN"/>
        </w:rPr>
        <w:t>挂接点应便于模板快速安装和拆除，并设置防脱装置。</w:t>
      </w:r>
    </w:p>
    <w:p w14:paraId="17C3131A">
      <w:pPr>
        <w:bidi w:val="0"/>
        <w:rPr>
          <w:rFonts w:hint="eastAsia"/>
          <w:lang w:val="en-US" w:eastAsia="zh-CN"/>
        </w:rPr>
      </w:pPr>
      <w:r>
        <w:rPr>
          <w:rFonts w:hint="eastAsia"/>
          <w:b/>
          <w:bCs/>
          <w:lang w:val="en-US" w:eastAsia="zh-CN"/>
        </w:rPr>
        <w:t>5</w:t>
      </w:r>
      <w:r>
        <w:rPr>
          <w:rFonts w:hint="default"/>
          <w:b/>
          <w:bCs/>
          <w:lang w:val="en-US" w:eastAsia="zh-CN"/>
        </w:rPr>
        <w:t>.5.</w:t>
      </w:r>
      <w:r>
        <w:rPr>
          <w:rFonts w:hint="eastAsia"/>
          <w:b/>
          <w:bCs/>
          <w:lang w:val="en-US" w:eastAsia="zh-CN"/>
        </w:rPr>
        <w:t>5</w:t>
      </w:r>
      <w:r>
        <w:rPr>
          <w:rFonts w:hint="eastAsia"/>
          <w:lang w:val="en-US" w:eastAsia="zh-CN"/>
        </w:rPr>
        <w:t xml:space="preserve">  防护围栏与安全网</w:t>
      </w:r>
    </w:p>
    <w:p w14:paraId="5DCB9D4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防护围栏与安全网应符合现行行业标准《建筑施工高处作业安全技术规范》JGJ 80的规定</w:t>
      </w: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HYPERLINK "https://www.ccsn.org.cn/DownFile.axd?ID=73d01233-0ab0-42ff-aebe-bf84345a3fdb&amp;Type=ArtAttchmentFileDown" \l "2#1" \t "https://chat.deepseek.com/a/chat/s/_blank"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w:t>
      </w:r>
    </w:p>
    <w:p w14:paraId="4882581A">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1</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 xml:space="preserve"> 围栏高度</w:t>
      </w:r>
    </w:p>
    <w:p w14:paraId="0AB7310F">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（1）</w:t>
      </w:r>
      <w:r>
        <w:rPr>
          <w:rFonts w:hint="eastAsia" w:cs="Times New Roman"/>
          <w:color w:val="auto"/>
          <w:highlight w:val="none"/>
          <w:lang w:val="en-US" w:eastAsia="zh-CN"/>
        </w:rPr>
        <w:t>轻载型</w:t>
      </w:r>
      <w:r>
        <w:rPr>
          <w:rFonts w:hint="default" w:ascii="Times New Roman" w:hAnsi="Times New Roman" w:eastAsia="宋体" w:cs="Times New Roman"/>
          <w:color w:val="auto"/>
          <w:highlight w:val="none"/>
          <w:lang w:val="en-US" w:eastAsia="zh-CN"/>
        </w:rPr>
        <w:t>钢平台顶部临边防护围栏高度不应低于</w:t>
      </w:r>
      <w:r>
        <w:rPr>
          <w:rFonts w:hint="eastAsia" w:ascii="Times New Roman" w:hAnsi="Times New Roman" w:eastAsia="宋体" w:cs="Times New Roman"/>
          <w:color w:val="auto"/>
          <w:highlight w:val="none"/>
          <w:lang w:val="en-US" w:eastAsia="zh-CN"/>
        </w:rPr>
        <w:t>1.2m</w:t>
      </w: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HYPERLINK "https://www.ccsn.org.cn/DownFile.axd?ID=73d01233-0ab0-42ff-aebe-bf84345a3fdb&amp;Type=ArtAttchmentFileDown" \l "2#1" \t "https://chat.deepseek.com/a/chat/s/_blank"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w:t>
      </w:r>
    </w:p>
    <w:p w14:paraId="5D8CAAE1">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（2）</w:t>
      </w:r>
      <w:r>
        <w:rPr>
          <w:rFonts w:hint="eastAsia" w:cs="Times New Roman"/>
          <w:color w:val="auto"/>
          <w:highlight w:val="none"/>
          <w:lang w:val="en-US" w:eastAsia="zh-CN"/>
        </w:rPr>
        <w:t>重载型</w:t>
      </w:r>
      <w:r>
        <w:rPr>
          <w:rFonts w:hint="default" w:ascii="Times New Roman" w:hAnsi="Times New Roman" w:eastAsia="宋体" w:cs="Times New Roman"/>
          <w:color w:val="auto"/>
          <w:highlight w:val="none"/>
          <w:lang w:val="en-US" w:eastAsia="zh-CN"/>
        </w:rPr>
        <w:t>钢平台顶部临边防护围栏高度不应低于</w:t>
      </w:r>
      <w:r>
        <w:rPr>
          <w:rFonts w:hint="eastAsia" w:ascii="Times New Roman" w:hAnsi="Times New Roman" w:eastAsia="宋体" w:cs="Times New Roman"/>
          <w:color w:val="auto"/>
          <w:highlight w:val="none"/>
          <w:lang w:val="en-US" w:eastAsia="zh-CN"/>
        </w:rPr>
        <w:t>1.</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HYPERLINK "https://www.ccsn.org.cn/DownFile.axd?ID=73d01233-0ab0-42ff-aebe-bf84345a3fdb&amp;Type=ArtAttchmentFileDown" \l "2#1" \t "https://chat.deepseek.com/a/chat/s/_blank"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w:t>
      </w:r>
    </w:p>
    <w:p w14:paraId="2FC600D9">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（3）</w:t>
      </w:r>
      <w:r>
        <w:rPr>
          <w:rFonts w:hint="default" w:ascii="Times New Roman" w:hAnsi="Times New Roman" w:eastAsia="宋体" w:cs="Times New Roman"/>
          <w:color w:val="auto"/>
          <w:highlight w:val="none"/>
          <w:lang w:val="en-US" w:eastAsia="zh-CN"/>
        </w:rPr>
        <w:t>平台内部洞口及走道板两侧防护栏杆高度不应低于1.2m。</w:t>
      </w:r>
    </w:p>
    <w:p w14:paraId="69D61928">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踢脚板</w:t>
      </w:r>
    </w:p>
    <w:p w14:paraId="41AE254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防护围栏底部</w:t>
      </w:r>
      <w:r>
        <w:rPr>
          <w:rFonts w:hint="eastAsia" w:ascii="Times New Roman" w:hAnsi="Times New Roman" w:eastAsia="宋体" w:cs="Times New Roman"/>
          <w:color w:val="auto"/>
          <w:highlight w:val="none"/>
          <w:lang w:val="en-US" w:eastAsia="zh-CN"/>
        </w:rPr>
        <w:t>宜</w:t>
      </w:r>
      <w:r>
        <w:rPr>
          <w:rFonts w:hint="default" w:ascii="Times New Roman" w:hAnsi="Times New Roman" w:eastAsia="宋体" w:cs="Times New Roman"/>
          <w:color w:val="auto"/>
          <w:highlight w:val="none"/>
          <w:lang w:val="en-US" w:eastAsia="zh-CN"/>
        </w:rPr>
        <w:t>设置踢脚板，高度不</w:t>
      </w:r>
      <w:r>
        <w:rPr>
          <w:rFonts w:hint="eastAsia" w:ascii="Times New Roman" w:hAnsi="Times New Roman" w:eastAsia="宋体" w:cs="Times New Roman"/>
          <w:color w:val="auto"/>
          <w:highlight w:val="none"/>
          <w:lang w:val="en-US" w:eastAsia="zh-CN"/>
        </w:rPr>
        <w:t>宜</w:t>
      </w:r>
      <w:r>
        <w:rPr>
          <w:rFonts w:hint="default" w:ascii="Times New Roman" w:hAnsi="Times New Roman" w:eastAsia="宋体" w:cs="Times New Roman"/>
          <w:color w:val="auto"/>
          <w:highlight w:val="none"/>
          <w:lang w:val="en-US" w:eastAsia="zh-CN"/>
        </w:rPr>
        <w:t>小于</w:t>
      </w:r>
      <w:r>
        <w:rPr>
          <w:rFonts w:hint="eastAsia" w:ascii="Times New Roman" w:hAnsi="Times New Roman" w:eastAsia="宋体" w:cs="Times New Roman"/>
          <w:color w:val="auto"/>
          <w:highlight w:val="none"/>
          <w:lang w:val="en-US" w:eastAsia="zh-CN"/>
        </w:rPr>
        <w:t>300</w:t>
      </w:r>
      <w:r>
        <w:rPr>
          <w:rFonts w:hint="default" w:ascii="Times New Roman" w:hAnsi="Times New Roman" w:eastAsia="宋体" w:cs="Times New Roman"/>
          <w:color w:val="auto"/>
          <w:highlight w:val="none"/>
          <w:lang w:val="en-US" w:eastAsia="zh-CN"/>
        </w:rPr>
        <w:t>mm</w:t>
      </w: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HYPERLINK "https://www.ccsn.org.cn/DownFile.axd?ID=73d01233-0ab0-42ff-aebe-bf84345a3fdb&amp;Type=ArtAttchmentFileDown" \l "2#1" \t "https://chat.deepseek.com/a/chat/s/_blank"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w:t>
      </w:r>
    </w:p>
    <w:p w14:paraId="1F61040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3</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安全网</w:t>
      </w:r>
    </w:p>
    <w:p w14:paraId="075C09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挂架外立面应采用阻燃型安全网，网目密度不</w:t>
      </w:r>
      <w:r>
        <w:rPr>
          <w:rFonts w:hint="eastAsia" w:ascii="Times New Roman" w:hAnsi="Times New Roman" w:eastAsia="宋体" w:cs="Times New Roman"/>
          <w:color w:val="auto"/>
          <w:highlight w:val="none"/>
          <w:lang w:val="en-US" w:eastAsia="zh-CN"/>
        </w:rPr>
        <w:t>宜</w:t>
      </w:r>
      <w:r>
        <w:rPr>
          <w:rFonts w:hint="default" w:ascii="Times New Roman" w:hAnsi="Times New Roman" w:eastAsia="宋体" w:cs="Times New Roman"/>
          <w:color w:val="auto"/>
          <w:highlight w:val="none"/>
          <w:lang w:val="en-US" w:eastAsia="zh-CN"/>
        </w:rPr>
        <w:t>低于2000目/100cm²。</w:t>
      </w:r>
    </w:p>
    <w:p w14:paraId="39C3CEE3">
      <w:pPr>
        <w:bidi w:val="0"/>
        <w:rPr>
          <w:rFonts w:hint="eastAsia"/>
          <w:lang w:val="en-US" w:eastAsia="zh-CN"/>
        </w:rPr>
      </w:pPr>
      <w:r>
        <w:rPr>
          <w:rFonts w:hint="eastAsia"/>
          <w:b/>
          <w:bCs/>
          <w:lang w:val="en-US" w:eastAsia="zh-CN"/>
        </w:rPr>
        <w:t>5</w:t>
      </w:r>
      <w:r>
        <w:rPr>
          <w:rFonts w:hint="default"/>
          <w:b/>
          <w:bCs/>
          <w:lang w:val="en-US" w:eastAsia="zh-CN"/>
        </w:rPr>
        <w:t>.5.</w:t>
      </w:r>
      <w:r>
        <w:rPr>
          <w:rFonts w:hint="eastAsia"/>
          <w:b/>
          <w:bCs/>
          <w:lang w:val="en-US" w:eastAsia="zh-CN"/>
        </w:rPr>
        <w:t>6</w:t>
      </w:r>
      <w:r>
        <w:rPr>
          <w:rFonts w:hint="eastAsia"/>
          <w:lang w:val="en-US" w:eastAsia="zh-CN"/>
        </w:rPr>
        <w:t xml:space="preserve">  消防与临时用水</w:t>
      </w:r>
    </w:p>
    <w:p w14:paraId="4698E31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消防设计应符合现行国家标准《建设工程施工现场消防安全技术规范》GB 50720的规定</w:t>
      </w: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HYPERLINK "https://www.ccsn.org.cn/DownFile.axd?ID=73d01233-0ab0-42ff-aebe-bf84345a3fdb&amp;Type=ArtAttchmentFileDown" \l "2#1" \t "https://chat.deepseek.com/a/chat/s/_blank"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HYPERLINK "http://www.cecs.org.cn/uploads/soft/180903/1-1PZ3150534.pdf" \l "8#2" \t "https://chat.deepseek.com/a/chat/s/_blank"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w:t>
      </w:r>
    </w:p>
    <w:p w14:paraId="04B62181">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1</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集成平台</w:t>
      </w:r>
      <w:r>
        <w:rPr>
          <w:rFonts w:hint="eastAsia" w:ascii="Times New Roman" w:hAnsi="Times New Roman" w:eastAsia="宋体" w:cs="Times New Roman"/>
          <w:color w:val="auto"/>
          <w:highlight w:val="none"/>
          <w:lang w:val="en-US" w:eastAsia="zh-CN"/>
        </w:rPr>
        <w:t>控制室</w:t>
      </w:r>
      <w:r>
        <w:rPr>
          <w:rFonts w:hint="default" w:ascii="Times New Roman" w:hAnsi="Times New Roman" w:eastAsia="宋体" w:cs="Times New Roman"/>
          <w:color w:val="auto"/>
          <w:highlight w:val="none"/>
          <w:lang w:val="en-US" w:eastAsia="zh-CN"/>
        </w:rPr>
        <w:t>应配置灭火器，不</w:t>
      </w:r>
      <w:r>
        <w:rPr>
          <w:rFonts w:hint="eastAsia" w:ascii="Times New Roman" w:hAnsi="Times New Roman" w:eastAsia="宋体" w:cs="Times New Roman"/>
          <w:color w:val="auto"/>
          <w:highlight w:val="none"/>
          <w:lang w:val="en-US" w:eastAsia="zh-CN"/>
        </w:rPr>
        <w:t>宜</w:t>
      </w:r>
      <w:r>
        <w:rPr>
          <w:rFonts w:hint="default" w:ascii="Times New Roman" w:hAnsi="Times New Roman" w:eastAsia="宋体" w:cs="Times New Roman"/>
          <w:color w:val="auto"/>
          <w:highlight w:val="none"/>
          <w:lang w:val="en-US" w:eastAsia="zh-CN"/>
        </w:rPr>
        <w:t>少于2具。</w:t>
      </w:r>
    </w:p>
    <w:p w14:paraId="00FB86A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临时用水管路应随集成平台同步顶升，管路连接应采用柔性连接方式。柔性连接段应满足平台顶升行程要求，且不应小于1.2倍楼层高度。</w:t>
      </w:r>
    </w:p>
    <w:p w14:paraId="3829E64B">
      <w:pPr>
        <w:bidi w:val="0"/>
        <w:rPr>
          <w:rFonts w:hint="eastAsia"/>
          <w:lang w:val="en-US" w:eastAsia="zh-CN"/>
        </w:rPr>
      </w:pPr>
      <w:r>
        <w:rPr>
          <w:rFonts w:hint="eastAsia"/>
          <w:b/>
          <w:bCs/>
          <w:lang w:val="en-US" w:eastAsia="zh-CN"/>
        </w:rPr>
        <w:t>5</w:t>
      </w:r>
      <w:r>
        <w:rPr>
          <w:rFonts w:hint="default"/>
          <w:b/>
          <w:bCs/>
          <w:lang w:val="en-US" w:eastAsia="zh-CN"/>
        </w:rPr>
        <w:t>.5.</w:t>
      </w:r>
      <w:r>
        <w:rPr>
          <w:rFonts w:hint="eastAsia"/>
          <w:b/>
          <w:bCs/>
          <w:lang w:val="en-US" w:eastAsia="zh-CN"/>
        </w:rPr>
        <w:t>7</w:t>
      </w:r>
      <w:r>
        <w:rPr>
          <w:rFonts w:hint="eastAsia"/>
          <w:lang w:val="en-US" w:eastAsia="zh-CN"/>
        </w:rPr>
        <w:t xml:space="preserve">  照明与施工标识</w:t>
      </w:r>
    </w:p>
    <w:p w14:paraId="36FEA018">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1</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施工作业层的照度不应低于100lx，保证夜间施工的照明需求。</w:t>
      </w:r>
    </w:p>
    <w:p w14:paraId="2B86FE0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应急照明持续供电时间不应小于30min，覆盖人员通道和关键操作区域</w:t>
      </w: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HYPERLINK "https://www.ccsn.org.cn/DownFile.axd?ID=73d01233-0ab0-42ff-aebe-bf84345a3fdb&amp;Type=ArtAttchmentFileDown" \l "2#1" \t "https://chat.deepseek.com/a/chat/s/_blank"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w:t>
      </w:r>
    </w:p>
    <w:p w14:paraId="635A0A93">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3</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安全警示标识应设置于醒目位置，内容应清晰、不易擦除，且应符合标准化要求。</w:t>
      </w:r>
    </w:p>
    <w:p w14:paraId="2834CB36">
      <w:pPr>
        <w:bidi w:val="0"/>
        <w:rPr>
          <w:rFonts w:hint="eastAsia"/>
          <w:lang w:val="en-US" w:eastAsia="zh-CN"/>
        </w:rPr>
      </w:pPr>
      <w:r>
        <w:rPr>
          <w:rFonts w:hint="eastAsia"/>
          <w:b/>
          <w:bCs/>
          <w:lang w:val="en-US" w:eastAsia="zh-CN"/>
        </w:rPr>
        <w:t>5</w:t>
      </w:r>
      <w:r>
        <w:rPr>
          <w:rFonts w:hint="default"/>
          <w:b/>
          <w:bCs/>
          <w:lang w:val="en-US" w:eastAsia="zh-CN"/>
        </w:rPr>
        <w:t>.5.</w:t>
      </w:r>
      <w:r>
        <w:rPr>
          <w:rFonts w:hint="eastAsia"/>
          <w:b/>
          <w:bCs/>
          <w:lang w:val="en-US" w:eastAsia="zh-CN"/>
        </w:rPr>
        <w:t>8</w:t>
      </w:r>
      <w:r>
        <w:rPr>
          <w:rFonts w:hint="eastAsia"/>
          <w:lang w:val="en-US" w:eastAsia="zh-CN"/>
        </w:rPr>
        <w:t xml:space="preserve">  </w:t>
      </w:r>
      <w:r>
        <w:rPr>
          <w:rFonts w:hint="default" w:ascii="Times New Roman" w:hAnsi="Times New Roman" w:eastAsia="宋体" w:cs="Times New Roman"/>
          <w:color w:val="auto"/>
          <w:highlight w:val="none"/>
          <w:lang w:val="en-US" w:eastAsia="zh-CN"/>
        </w:rPr>
        <w:t>喷雾</w:t>
      </w:r>
      <w:r>
        <w:rPr>
          <w:rFonts w:hint="eastAsia"/>
          <w:highlight w:val="none"/>
          <w:lang w:val="en-US" w:eastAsia="zh-CN"/>
        </w:rPr>
        <w:t>降尘降温</w:t>
      </w:r>
      <w:r>
        <w:rPr>
          <w:rFonts w:hint="eastAsia"/>
          <w:lang w:val="en-US" w:eastAsia="zh-CN"/>
        </w:rPr>
        <w:t>与环保设施</w:t>
      </w:r>
    </w:p>
    <w:p w14:paraId="6ABEB3F3">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1</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 xml:space="preserve"> 高压喷雾覆盖</w:t>
      </w:r>
    </w:p>
    <w:p w14:paraId="3DF5C41A">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default" w:ascii="Times New Roman" w:hAnsi="Times New Roman" w:eastAsia="宋体" w:cs="Times New Roman"/>
          <w:color w:val="auto"/>
          <w:highlight w:val="none"/>
          <w:lang w:val="en-US" w:eastAsia="zh-CN"/>
        </w:rPr>
        <w:t>宜在钢平台桁架下部设置高压喷雾降尘系统，喷雾应覆盖整个施工作业面。</w:t>
      </w:r>
    </w:p>
    <w:p w14:paraId="4F92491E">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default" w:ascii="Times New Roman" w:hAnsi="Times New Roman" w:eastAsia="宋体" w:cs="Times New Roman"/>
          <w:color w:val="auto"/>
          <w:highlight w:val="none"/>
          <w:lang w:val="en-US" w:eastAsia="zh-CN"/>
        </w:rPr>
        <w:t>喷雾系统应能有效降低施工粉尘和混凝土养护期间的温度。</w:t>
      </w:r>
    </w:p>
    <w:p w14:paraId="24EA5D4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2</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 xml:space="preserve"> 噪声控制</w:t>
      </w:r>
    </w:p>
    <w:p w14:paraId="12E62E50">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1）</w:t>
      </w:r>
      <w:r>
        <w:rPr>
          <w:rFonts w:hint="default" w:ascii="Times New Roman" w:hAnsi="Times New Roman" w:eastAsia="宋体" w:cs="Times New Roman"/>
          <w:color w:val="auto"/>
          <w:highlight w:val="none"/>
          <w:lang w:val="en-US" w:eastAsia="zh-CN"/>
        </w:rPr>
        <w:t>对噪声较大的设备（如液压泵站、空压机等）应设置隔音屏或消音器。</w:t>
      </w:r>
    </w:p>
    <w:p w14:paraId="54C0AE7E">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2）</w:t>
      </w:r>
      <w:r>
        <w:rPr>
          <w:rFonts w:hint="default" w:ascii="Times New Roman" w:hAnsi="Times New Roman" w:eastAsia="宋体" w:cs="Times New Roman"/>
          <w:color w:val="auto"/>
          <w:highlight w:val="none"/>
          <w:lang w:val="en-US" w:eastAsia="zh-CN"/>
        </w:rPr>
        <w:t>施工期间噪声排放应符合《建筑施工场界环境噪声排放标准》GB 12523的规定</w:t>
      </w: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HYPERLINK "http://www.cecs.org.cn/uploads/soft/180903/1-1PZ3150534.pdf" \l "8#2" \t "https://chat.deepseek.com/a/chat/s/_blank"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w:t>
      </w:r>
    </w:p>
    <w:p w14:paraId="3B84456F">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3</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废弃物分类收集</w:t>
      </w:r>
    </w:p>
    <w:p w14:paraId="708C2102">
      <w:pPr>
        <w:bidi w:val="0"/>
        <w:ind w:firstLine="480" w:firstLineChars="200"/>
        <w:rPr>
          <w:rFonts w:hint="default"/>
          <w:b w:val="0"/>
          <w:bCs w:val="0"/>
          <w:color w:val="000000" w:themeColor="text1"/>
          <w:lang w:val="en-US" w:eastAsia="zh-CN"/>
          <w14:textFill>
            <w14:solidFill>
              <w14:schemeClr w14:val="tx1"/>
            </w14:solidFill>
          </w14:textFill>
        </w:rPr>
      </w:pPr>
      <w:r>
        <w:rPr>
          <w:rFonts w:hint="default" w:ascii="Times New Roman" w:hAnsi="Times New Roman" w:eastAsia="宋体" w:cs="Times New Roman"/>
          <w:color w:val="auto"/>
          <w:highlight w:val="none"/>
          <w:lang w:val="en-US" w:eastAsia="zh-CN"/>
        </w:rPr>
        <w:t>集成平台应设置封闭式垃圾箱，对建筑垃圾实行分类收集和及时清运</w:t>
      </w:r>
      <w:r>
        <w:rPr>
          <w:rFonts w:hint="eastAsia"/>
          <w:b w:val="0"/>
          <w:bCs w:val="0"/>
          <w:color w:val="000000" w:themeColor="text1"/>
          <w:lang w:val="en-US" w:eastAsia="zh-CN"/>
          <w14:textFill>
            <w14:solidFill>
              <w14:schemeClr w14:val="tx1"/>
            </w14:solidFill>
          </w14:textFill>
        </w:rPr>
        <w:t>。</w:t>
      </w:r>
    </w:p>
    <w:p w14:paraId="5E787F06">
      <w:pPr>
        <w:bidi w:val="0"/>
        <w:ind w:firstLine="480" w:firstLineChars="200"/>
        <w:rPr>
          <w:rFonts w:hint="default"/>
          <w:b w:val="0"/>
          <w:bCs w:val="0"/>
          <w:color w:val="000000" w:themeColor="text1"/>
          <w:lang w:val="en-US" w:eastAsia="zh-CN"/>
          <w14:textFill>
            <w14:solidFill>
              <w14:schemeClr w14:val="tx1"/>
            </w14:solidFill>
          </w14:textFill>
        </w:rPr>
      </w:pPr>
    </w:p>
    <w:p w14:paraId="2C99B0A4">
      <w:pPr>
        <w:pStyle w:val="3"/>
        <w:bidi w:val="0"/>
        <w:rPr>
          <w:rFonts w:hint="eastAsia"/>
          <w:color w:val="000000" w:themeColor="text1"/>
          <w:lang w:val="en-US" w:eastAsia="zh-CN"/>
          <w14:textFill>
            <w14:solidFill>
              <w14:schemeClr w14:val="tx1"/>
            </w14:solidFill>
          </w14:textFill>
        </w:rPr>
      </w:pPr>
      <w:bookmarkStart w:id="101" w:name="_Toc13218"/>
      <w:bookmarkStart w:id="102" w:name="_Toc18947"/>
      <w:bookmarkStart w:id="103" w:name="_Toc1473"/>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 xml:space="preserve">  </w:t>
      </w:r>
      <w:bookmarkEnd w:id="101"/>
      <w:r>
        <w:rPr>
          <w:rFonts w:hint="eastAsia"/>
          <w:color w:val="000000" w:themeColor="text1"/>
          <w:lang w:val="en-US" w:eastAsia="zh-CN"/>
          <w14:textFill>
            <w14:solidFill>
              <w14:schemeClr w14:val="tx1"/>
            </w14:solidFill>
          </w14:textFill>
        </w:rPr>
        <w:t>电气系统设计</w:t>
      </w:r>
      <w:bookmarkEnd w:id="102"/>
      <w:bookmarkEnd w:id="103"/>
    </w:p>
    <w:p w14:paraId="7341EC74">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5.6.1</w:t>
      </w:r>
      <w:r>
        <w:rPr>
          <w:rFonts w:hint="eastAsia"/>
          <w:color w:val="000000" w:themeColor="text1"/>
          <w:lang w:val="en-US" w:eastAsia="zh-CN"/>
          <w14:textFill>
            <w14:solidFill>
              <w14:schemeClr w14:val="tx1"/>
            </w14:solidFill>
          </w14:textFill>
        </w:rPr>
        <w:t xml:space="preserve">  通用要求</w:t>
      </w:r>
    </w:p>
    <w:p w14:paraId="3E567B9B">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电气系统设计应符合现行国家标准《‌机械电气安全 机械电气设备 第1部分 ：通用技术条件‌》GB/T 5226.1和 《低压成套开关设备和控制设备 第1部分：总则》GB/T 7251.1的相关规定，其供配电设计、布线系统设计、防雷与接地设计等应满足现行国家标准《建筑电气与智能化通用规范》GB 55024要求。</w:t>
      </w:r>
    </w:p>
    <w:p w14:paraId="1AE41EF8">
      <w:pPr>
        <w:bidi w:val="0"/>
        <w:ind w:firstLine="482" w:firstLineChars="200"/>
        <w:rPr>
          <w:rFonts w:hint="eastAsia"/>
          <w:color w:val="auto"/>
          <w:lang w:val="en-US" w:eastAsia="zh-CN"/>
        </w:rPr>
      </w:pPr>
      <w:r>
        <w:rPr>
          <w:rFonts w:hint="eastAsia"/>
          <w:b/>
          <w:bCs/>
          <w:color w:val="auto"/>
          <w:lang w:val="en-US" w:eastAsia="zh-CN"/>
        </w:rPr>
        <w:t>2</w:t>
      </w:r>
      <w:r>
        <w:rPr>
          <w:rFonts w:hint="eastAsia"/>
          <w:color w:val="auto"/>
          <w:lang w:val="en-US" w:eastAsia="zh-CN"/>
        </w:rPr>
        <w:t xml:space="preserve">  电气系统设计须满足提升/顶升机构、集成设备设施、控制、监测系统等整个集成平台的供电需求。</w:t>
      </w:r>
    </w:p>
    <w:p w14:paraId="659143F8">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集成平台供电系统需设置独立供电回路，供电制式选用TN-S接零保护系统，控制系统、监测系统电源回路应与动力回路做电气隔离。</w:t>
      </w:r>
    </w:p>
    <w:p w14:paraId="3C791087">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配电功率不应小于动力系统额定功率和工作执行系统额定功率的较大值。</w:t>
      </w:r>
    </w:p>
    <w:p w14:paraId="30CE52BD">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 xml:space="preserve">  按现行国家标准《建筑施工机械与设备 通用安全要求》GB 45943要求，集成平台应设置急停装置，同时急停按钮应采取防误触保护措施。 </w:t>
      </w:r>
    </w:p>
    <w:p w14:paraId="3AA4E1D2">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6</w:t>
      </w:r>
      <w:r>
        <w:rPr>
          <w:rFonts w:hint="eastAsia"/>
          <w:color w:val="000000" w:themeColor="text1"/>
          <w:lang w:val="en-US" w:eastAsia="zh-CN"/>
          <w14:textFill>
            <w14:solidFill>
              <w14:schemeClr w14:val="tx1"/>
            </w14:solidFill>
          </w14:textFill>
        </w:rPr>
        <w:t xml:space="preserve">  电气系统应配备钥匙开关、密码权限、门禁等方式，阻止未经授权人员操作。 </w:t>
      </w:r>
    </w:p>
    <w:p w14:paraId="56E03ADC">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7</w:t>
      </w:r>
      <w:r>
        <w:rPr>
          <w:rFonts w:hint="eastAsia"/>
          <w:color w:val="000000" w:themeColor="text1"/>
          <w:lang w:val="en-US" w:eastAsia="zh-CN"/>
          <w14:textFill>
            <w14:solidFill>
              <w14:schemeClr w14:val="tx1"/>
            </w14:solidFill>
          </w14:textFill>
        </w:rPr>
        <w:t xml:space="preserve">  集成平台操作器件、安全类按钮宜配置防护罩，凹入式安装、需要双重动作才可触发，避免意外触碰影响设备和人身安全。</w:t>
      </w:r>
    </w:p>
    <w:p w14:paraId="4601D478">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5.6.2</w:t>
      </w:r>
      <w:r>
        <w:rPr>
          <w:rFonts w:hint="eastAsia"/>
          <w:color w:val="000000" w:themeColor="text1"/>
          <w:lang w:val="en-US" w:eastAsia="zh-CN"/>
          <w14:textFill>
            <w14:solidFill>
              <w14:schemeClr w14:val="tx1"/>
            </w14:solidFill>
          </w14:textFill>
        </w:rPr>
        <w:t xml:space="preserve">  供配电设计</w:t>
      </w:r>
    </w:p>
    <w:p w14:paraId="2ECFD926">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负荷等级。电气系统整体配电宜按二级负荷设计，其中提升/顶升系统、安全防护系统、智能监控系统等核心负荷宜按二级及以上负荷设计，其他系统可按三级负荷设计。</w:t>
      </w:r>
    </w:p>
    <w:p w14:paraId="69A47735">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5.6.3</w:t>
      </w:r>
      <w:r>
        <w:rPr>
          <w:rFonts w:hint="eastAsia"/>
          <w:color w:val="000000" w:themeColor="text1"/>
          <w:lang w:val="en-US" w:eastAsia="zh-CN"/>
          <w14:textFill>
            <w14:solidFill>
              <w14:schemeClr w14:val="tx1"/>
            </w14:solidFill>
          </w14:textFill>
        </w:rPr>
        <w:t xml:space="preserve">  接地与防雷保护</w:t>
      </w:r>
    </w:p>
    <w:p w14:paraId="14FFB663">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整机接地与防雷保护应满足现行国家标准《起重机械安全规程 第1部分：总则》中接地与防雷的强制性要求，保障集成平台的电气安全。</w:t>
      </w:r>
    </w:p>
    <w:p w14:paraId="3EF46FA8">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接地电阻要求‌</w:t>
      </w:r>
    </w:p>
    <w:p w14:paraId="11D045AA">
      <w:pPr>
        <w:bidi w:val="0"/>
        <w:ind w:firstLine="48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金属结构和电气设备金属外壳的接地电阻应符合现行国家标准《电气设备交接试验标准》GB 50150的规定。设备采用保护接零系统时，整机保护接地及重复接地的电阻值不得大于10Ω；采用保护接地系统，总接地电阻不得大于4Ω。</w:t>
      </w:r>
    </w:p>
    <w:p w14:paraId="11DECB77">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等电位联结‌</w:t>
      </w:r>
    </w:p>
    <w:p w14:paraId="3985B9B5">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整机设置总等电位汇流排，所有金属构件、管线、箱体外壳接入等电位系统；钢结构拼接位置增设跨接导线，分区设置局部等电位联结。</w:t>
      </w:r>
    </w:p>
    <w:p w14:paraId="32662A8A">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SPD分级配置‌</w:t>
      </w:r>
    </w:p>
    <w:p w14:paraId="21E13642">
      <w:pPr>
        <w:bidi w:val="0"/>
        <w:ind w:firstLine="480" w:firstLineChars="200"/>
        <w:rPr>
          <w:rFonts w:hint="eastAsia"/>
          <w:color w:val="auto"/>
          <w:lang w:val="en-US" w:eastAsia="zh-CN"/>
        </w:rPr>
      </w:pPr>
      <w:r>
        <w:rPr>
          <w:rFonts w:hint="eastAsia"/>
          <w:color w:val="auto"/>
          <w:lang w:val="en-US" w:eastAsia="zh-CN"/>
        </w:rPr>
        <w:t>平台供电系统的防雷设计应符合现行国家标准《建筑物防雷设计规范》GB 50057的相关规定，应根据建筑物防雷分区（LPZ）设置相应等级的电涌保护器（SPD），实行分级防护。各级浪涌保护器匹配对应放电参数、保护断路器与故障监测装置。SPD的接地端应与建筑物防雷接地系统做等电位连接，防雷引下线应与建筑防雷接地装置可靠连通。</w:t>
      </w:r>
    </w:p>
    <w:p w14:paraId="6E6D653E">
      <w:pPr>
        <w:bidi w:val="0"/>
        <w:ind w:firstLine="482" w:firstLineChars="200"/>
        <w:rPr>
          <w:rFonts w:hint="eastAsia"/>
          <w:color w:val="auto"/>
          <w:lang w:val="en-US" w:eastAsia="zh-CN"/>
        </w:rPr>
      </w:pPr>
      <w:r>
        <w:rPr>
          <w:rFonts w:hint="eastAsia"/>
          <w:b/>
          <w:bCs/>
          <w:color w:val="auto"/>
          <w:lang w:val="en-US" w:eastAsia="zh-CN"/>
        </w:rPr>
        <w:t>5</w:t>
      </w:r>
      <w:r>
        <w:rPr>
          <w:rFonts w:hint="eastAsia"/>
          <w:color w:val="auto"/>
          <w:lang w:val="en-US" w:eastAsia="zh-CN"/>
        </w:rPr>
        <w:t xml:space="preserve"> 临时接闪器</w:t>
      </w:r>
    </w:p>
    <w:p w14:paraId="3A90EFB8">
      <w:pPr>
        <w:bidi w:val="0"/>
        <w:ind w:firstLine="480" w:firstLineChars="200"/>
        <w:rPr>
          <w:rFonts w:hint="eastAsia"/>
          <w:color w:val="000000" w:themeColor="text1"/>
          <w:lang w:val="en-US" w:eastAsia="zh-CN"/>
          <w14:textFill>
            <w14:solidFill>
              <w14:schemeClr w14:val="tx1"/>
            </w14:solidFill>
          </w14:textFill>
        </w:rPr>
      </w:pPr>
      <w:r>
        <w:rPr>
          <w:rFonts w:hint="eastAsia"/>
          <w:color w:val="auto"/>
          <w:lang w:val="en-US" w:eastAsia="zh-CN"/>
        </w:rPr>
        <w:t>集成平台应按现行国家标准《建筑物防雷设计规范》GB 50057要</w:t>
      </w:r>
      <w:r>
        <w:rPr>
          <w:rFonts w:hint="eastAsia"/>
          <w:color w:val="000000" w:themeColor="text1"/>
          <w:lang w:val="en-US" w:eastAsia="zh-CN"/>
          <w14:textFill>
            <w14:solidFill>
              <w14:schemeClr w14:val="tx1"/>
            </w14:solidFill>
          </w14:textFill>
        </w:rPr>
        <w:t>求设置临时接闪器，临时接闪器始终设置在平台的最高点；若平台整体已处于邻近防雷装置接闪器的保护范围内，则可不另行安装临时接闪器。</w:t>
      </w:r>
    </w:p>
    <w:p w14:paraId="4FD623DD">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5.6.4</w:t>
      </w:r>
      <w:r>
        <w:rPr>
          <w:rFonts w:hint="eastAsia"/>
          <w:color w:val="000000" w:themeColor="text1"/>
          <w:lang w:val="en-US" w:eastAsia="zh-CN"/>
          <w14:textFill>
            <w14:solidFill>
              <w14:schemeClr w14:val="tx1"/>
            </w14:solidFill>
          </w14:textFill>
        </w:rPr>
        <w:t xml:space="preserve">  施工用电安全</w:t>
      </w:r>
    </w:p>
    <w:p w14:paraId="0DAE7FDF">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平台施工用电需满足</w:t>
      </w:r>
      <w:r>
        <w:rPr>
          <w:rFonts w:hint="eastAsia"/>
          <w:color w:val="000000" w:themeColor="text1"/>
          <w:highlight w:val="none"/>
          <w:lang w:val="en-US" w:eastAsia="zh-CN"/>
          <w14:textFill>
            <w14:solidFill>
              <w14:schemeClr w14:val="tx1"/>
            </w14:solidFill>
          </w14:textFill>
        </w:rPr>
        <w:t>《建筑与市政工程施工现场临时用电安全技术标准》（JGJ/T46）</w:t>
      </w:r>
      <w:r>
        <w:rPr>
          <w:rFonts w:hint="eastAsia"/>
          <w:color w:val="000000" w:themeColor="text1"/>
          <w:lang w:val="en-US" w:eastAsia="zh-CN"/>
          <w14:textFill>
            <w14:solidFill>
              <w14:schemeClr w14:val="tx1"/>
            </w14:solidFill>
          </w14:textFill>
        </w:rPr>
        <w:t>要求，执行三级配电、两级漏电保护架构：总配电柜</w:t>
      </w:r>
      <w:r>
        <w:rPr>
          <w:rFonts w:hint="eastAsia"/>
          <w:color w:val="000000" w:themeColor="text1"/>
          <w:lang w:val="en-US" w:eastAsia="zh-CN"/>
          <w14:textFill>
            <w14:solidFill>
              <w14:schemeClr w14:val="tx1"/>
            </w14:solidFill>
          </w14:textFill>
        </w:rPr>
        <w:noBreakHyphen/>
      </w:r>
      <w:r>
        <w:rPr>
          <w:rFonts w:hint="eastAsia"/>
          <w:color w:val="000000" w:themeColor="text1"/>
          <w:lang w:val="en-US" w:eastAsia="zh-CN"/>
          <w14:textFill>
            <w14:solidFill>
              <w14:schemeClr w14:val="tx1"/>
            </w14:solidFill>
          </w14:textFill>
        </w:rPr>
        <w:t>分配电箱</w:t>
      </w:r>
      <w:r>
        <w:rPr>
          <w:rFonts w:hint="eastAsia"/>
          <w:color w:val="000000" w:themeColor="text1"/>
          <w:lang w:val="en-US" w:eastAsia="zh-CN"/>
          <w14:textFill>
            <w14:solidFill>
              <w14:schemeClr w14:val="tx1"/>
            </w14:solidFill>
          </w14:textFill>
        </w:rPr>
        <w:noBreakHyphen/>
      </w:r>
      <w:r>
        <w:rPr>
          <w:rFonts w:hint="eastAsia"/>
          <w:color w:val="000000" w:themeColor="text1"/>
          <w:lang w:val="en-US" w:eastAsia="zh-CN"/>
          <w14:textFill>
            <w14:solidFill>
              <w14:schemeClr w14:val="tx1"/>
            </w14:solidFill>
          </w14:textFill>
        </w:rPr>
        <w:t>设备开关箱，落实一机一闸一漏一箱；总配电箱、末端开关箱装设两级漏电保护器。</w:t>
      </w:r>
    </w:p>
    <w:p w14:paraId="45F9B3AB">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设备末端开关箱应选用瞬时型漏电保护器，额定漏电动作电流≤30mA，动作时间＜0.1s。</w:t>
      </w:r>
    </w:p>
    <w:p w14:paraId="1AFA9A5F">
      <w:pPr>
        <w:bidi w:val="0"/>
        <w:ind w:firstLine="482" w:firstLineChars="200"/>
        <w:rPr>
          <w:rFonts w:hint="eastAsia"/>
          <w:color w:val="auto"/>
          <w:lang w:val="en-US" w:eastAsia="zh-CN"/>
        </w:rPr>
      </w:pPr>
      <w:r>
        <w:rPr>
          <w:rFonts w:hint="eastAsia"/>
          <w:b/>
          <w:bCs/>
          <w:color w:val="auto"/>
          <w:lang w:val="en-US" w:eastAsia="zh-CN"/>
        </w:rPr>
        <w:t>3</w:t>
      </w:r>
      <w:r>
        <w:rPr>
          <w:rFonts w:hint="eastAsia"/>
          <w:color w:val="auto"/>
          <w:lang w:val="en-US" w:eastAsia="zh-CN"/>
        </w:rPr>
        <w:t xml:space="preserve">  系统应按现行国家标准《机械电气安全 机械电气设备第 1 部分：通用技术条件》GB/T 5226.1及《低压配电设计规范》GB50054要求设置过载保护，过载保护电流不小于整机额定电流，且不应大于线路导体的长期允许载流量，通常设置为额定电流的1.05-1.2倍。</w:t>
      </w:r>
    </w:p>
    <w:p w14:paraId="77031F36">
      <w:pPr>
        <w:bidi w:val="0"/>
        <w:ind w:firstLine="482" w:firstLineChars="200"/>
        <w:rPr>
          <w:rFonts w:hint="eastAsia"/>
          <w:color w:val="auto"/>
          <w:lang w:val="en-US" w:eastAsia="zh-CN"/>
        </w:rPr>
      </w:pPr>
      <w:r>
        <w:rPr>
          <w:rFonts w:hint="eastAsia"/>
          <w:b/>
          <w:bCs/>
          <w:color w:val="auto"/>
          <w:lang w:val="en-US" w:eastAsia="zh-CN"/>
        </w:rPr>
        <w:t>4</w:t>
      </w:r>
      <w:r>
        <w:rPr>
          <w:rFonts w:hint="eastAsia"/>
          <w:color w:val="auto"/>
          <w:lang w:val="en-US" w:eastAsia="zh-CN"/>
        </w:rPr>
        <w:t xml:space="preserve">  系统电源回路应设置绝缘监视装置，确保设备绝缘状态满足现行国家标准《用电安全导则》GB/T 13869要求，电气装置的绝缘电阻阻值应符合现行国家标准《电气设备交接试验标准》GB 50150的相关规定。</w:t>
      </w:r>
    </w:p>
    <w:p w14:paraId="2343DF89">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 xml:space="preserve">  集成平台应设置应急照明设施，并应符合现行国家标准《应急照明》GB/T 42824的相关规定。 </w:t>
      </w:r>
    </w:p>
    <w:p w14:paraId="4A16A5D6">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5.6.5</w:t>
      </w:r>
      <w:r>
        <w:rPr>
          <w:rFonts w:hint="eastAsia"/>
          <w:color w:val="000000" w:themeColor="text1"/>
          <w:lang w:val="en-US" w:eastAsia="zh-CN"/>
          <w14:textFill>
            <w14:solidFill>
              <w14:schemeClr w14:val="tx1"/>
            </w14:solidFill>
          </w14:textFill>
        </w:rPr>
        <w:t xml:space="preserve">  应急电源配置</w:t>
      </w:r>
    </w:p>
    <w:p w14:paraId="642B51F5">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UPS电源</w:t>
      </w:r>
    </w:p>
    <w:p w14:paraId="1675F504">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设备安全监控、核心控制单元、安全防坠系统、应急照明回路宜配置在线式UPS供电，容量预留20%～30%的余量，确保至少持续供电30分钟；UPS应具备0ms切换功能，可远程监测运行参数、实现电池保护与故障告警。</w:t>
      </w:r>
    </w:p>
    <w:p w14:paraId="2E591C40">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应急发电机</w:t>
      </w:r>
    </w:p>
    <w:p w14:paraId="3FEF77AC">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现场宜配置应急发电机组，满足一级负荷用电需求，市电故障之后 15 s 之内自动切换；机组配备各类故障保护并且定期试机。 </w:t>
      </w:r>
    </w:p>
    <w:p w14:paraId="6B788605">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独立应急回路</w:t>
      </w:r>
    </w:p>
    <w:p w14:paraId="1EDDC4E3">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UPS供电回路、应急发电机供电回路与常规主供电回路物理隔离，紧急停止回路由应急电源独立供电。</w:t>
      </w:r>
    </w:p>
    <w:p w14:paraId="7A66CF50">
      <w:pPr>
        <w:pStyle w:val="3"/>
        <w:bidi w:val="0"/>
        <w:rPr>
          <w:rFonts w:hint="eastAsia"/>
          <w:color w:val="000000" w:themeColor="text1"/>
          <w:lang w:val="en-US" w:eastAsia="zh-CN"/>
          <w14:textFill>
            <w14:solidFill>
              <w14:schemeClr w14:val="tx1"/>
            </w14:solidFill>
          </w14:textFill>
        </w:rPr>
      </w:pPr>
      <w:bookmarkStart w:id="104" w:name="_Toc21497"/>
      <w:bookmarkStart w:id="105" w:name="_Toc26299"/>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7</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智能控制系统设计</w:t>
      </w:r>
      <w:bookmarkEnd w:id="104"/>
      <w:bookmarkEnd w:id="105"/>
    </w:p>
    <w:p w14:paraId="7CCE06B1">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default"/>
          <w:b/>
          <w:bCs/>
          <w:color w:val="000000" w:themeColor="text1"/>
          <w:lang w:val="en-US" w:eastAsia="zh-CN"/>
          <w14:textFill>
            <w14:solidFill>
              <w14:schemeClr w14:val="tx1"/>
            </w14:solidFill>
          </w14:textFill>
        </w:rPr>
        <w:t>.</w:t>
      </w:r>
      <w:r>
        <w:rPr>
          <w:rFonts w:hint="eastAsia"/>
          <w:b/>
          <w:bCs/>
          <w:color w:val="000000" w:themeColor="text1"/>
          <w:lang w:val="en-US" w:eastAsia="zh-CN"/>
          <w14:textFill>
            <w14:solidFill>
              <w14:schemeClr w14:val="tx1"/>
            </w14:solidFill>
          </w14:textFill>
        </w:rPr>
        <w:t>7</w:t>
      </w:r>
      <w:r>
        <w:rPr>
          <w:rFonts w:hint="default"/>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控制架构</w:t>
      </w:r>
    </w:p>
    <w:p w14:paraId="55ED463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架构组成</w:t>
      </w:r>
    </w:p>
    <w:p w14:paraId="0D52CA0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控制架构感应由感知层、控制层、执行层、管理层构成，各层级功能独立、逻辑闭环、联动可靠，以满足集成平台设备智能化控制、安全防护及数字化监管的整体应用要求。</w:t>
      </w:r>
    </w:p>
    <w:p w14:paraId="6641A074">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主控制器选型</w:t>
      </w:r>
    </w:p>
    <w:p w14:paraId="7A3D813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主控制器应选用工业级可编程逻辑控制器（PLC），选型严格遵循稳定可靠、适配工况、环境适配的核心原则。</w:t>
      </w:r>
    </w:p>
    <w:p w14:paraId="041E404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冗余配置设计</w:t>
      </w:r>
    </w:p>
    <w:p w14:paraId="3F0E1D9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有单点故障引发失控及安全风险的，必须有系统核心环节设置冗余配置。核心关键供电环节采用冗余容错设计，提升系统整体稳定性与运行连续性。冗余设计以安全合规为硬性要求。</w:t>
      </w:r>
    </w:p>
    <w:p w14:paraId="21D6127B">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default"/>
          <w:b/>
          <w:bCs/>
          <w:color w:val="000000" w:themeColor="text1"/>
          <w:lang w:val="en-US" w:eastAsia="zh-CN"/>
          <w14:textFill>
            <w14:solidFill>
              <w14:schemeClr w14:val="tx1"/>
            </w14:solidFill>
          </w14:textFill>
        </w:rPr>
        <w:t>.</w:t>
      </w:r>
      <w:r>
        <w:rPr>
          <w:rFonts w:hint="eastAsia"/>
          <w:b/>
          <w:bCs/>
          <w:color w:val="000000" w:themeColor="text1"/>
          <w:lang w:val="en-US" w:eastAsia="zh-CN"/>
          <w14:textFill>
            <w14:solidFill>
              <w14:schemeClr w14:val="tx1"/>
            </w14:solidFill>
          </w14:textFill>
        </w:rPr>
        <w:t>7</w:t>
      </w:r>
      <w:r>
        <w:rPr>
          <w:rFonts w:hint="default"/>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安全控制功能</w:t>
      </w:r>
    </w:p>
    <w:p w14:paraId="3928CD87">
      <w:pPr>
        <w:bidi w:val="0"/>
        <w:ind w:firstLine="480" w:firstLineChars="20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除机械方面具备原生断电防坠落锁止设计外，智能控制系统安全控制体系，须采用独立安全控制架构，硬件安全链优先于软件逻辑，实现全工况风险防护，保障设备本质安全。</w:t>
      </w:r>
    </w:p>
    <w:p w14:paraId="6E87D0BD">
      <w:pPr>
        <w:bidi w:val="0"/>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安全PLC或安全继电器独立配置</w:t>
      </w:r>
    </w:p>
    <w:p w14:paraId="1E410AEB">
      <w:pPr>
        <w:bidi w:val="0"/>
        <w:ind w:firstLine="480" w:firstLineChars="20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智能控制系统安全防护应选用安全PLC或安全继电器，PLC或安全继电器与常规PLC相互独立、逻辑隔离。与主控PLC数据交互相隔离，常规程序异常不得干扰安全保护链路。</w:t>
      </w:r>
    </w:p>
    <w:p w14:paraId="1947BD0C">
      <w:pPr>
        <w:bidi w:val="0"/>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硬件安全链配置</w:t>
      </w:r>
    </w:p>
    <w:p w14:paraId="68C20FC5">
      <w:pPr>
        <w:bidi w:val="0"/>
        <w:ind w:firstLine="480" w:firstLineChars="20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本智能控制系统应搭建完整闭环硬件安全链，安全硬回路禁止受软件程序、网络状态影响，主链路应有双通道冗余安全采集链路。</w:t>
      </w:r>
    </w:p>
    <w:p w14:paraId="3295D736">
      <w:pPr>
        <w:bidi w:val="0"/>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安全完整性等级（SIL）建议</w:t>
      </w:r>
    </w:p>
    <w:p w14:paraId="3EC1E84F">
      <w:pPr>
        <w:bidi w:val="0"/>
        <w:ind w:firstLine="480" w:firstLineChars="200"/>
        <w:rPr>
          <w:rFonts w:hint="default"/>
          <w:b w:val="0"/>
          <w:bCs w:val="0"/>
          <w:color w:val="000000" w:themeColor="text1"/>
          <w14:textFill>
            <w14:solidFill>
              <w14:schemeClr w14:val="tx1"/>
            </w14:solidFill>
          </w14:textFill>
        </w:rPr>
      </w:pPr>
      <w:r>
        <w:rPr>
          <w:rFonts w:hint="eastAsia"/>
          <w:b w:val="0"/>
          <w:bCs w:val="0"/>
          <w:color w:val="000000" w:themeColor="text1"/>
          <w:lang w:val="en-US" w:eastAsia="zh-CN"/>
          <w14:textFill>
            <w14:solidFill>
              <w14:schemeClr w14:val="tx1"/>
            </w14:solidFill>
          </w14:textFill>
        </w:rPr>
        <w:t>结合本设备高空重载作业风险等级及各级文件要求，本系统安全控制单元、硬件安全链路整体不得低于SIL2安全完整性等级。</w:t>
      </w:r>
    </w:p>
    <w:p w14:paraId="6676DB9D">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default"/>
          <w:b/>
          <w:bCs/>
          <w:color w:val="000000" w:themeColor="text1"/>
          <w:lang w:val="en-US" w:eastAsia="zh-CN"/>
          <w14:textFill>
            <w14:solidFill>
              <w14:schemeClr w14:val="tx1"/>
            </w14:solidFill>
          </w14:textFill>
        </w:rPr>
        <w:t>.</w:t>
      </w:r>
      <w:r>
        <w:rPr>
          <w:rFonts w:hint="eastAsia"/>
          <w:b/>
          <w:bCs/>
          <w:color w:val="000000" w:themeColor="text1"/>
          <w:lang w:val="en-US" w:eastAsia="zh-CN"/>
          <w14:textFill>
            <w14:solidFill>
              <w14:schemeClr w14:val="tx1"/>
            </w14:solidFill>
          </w14:textFill>
        </w:rPr>
        <w:t>7</w:t>
      </w:r>
      <w:r>
        <w:rPr>
          <w:rFonts w:hint="default"/>
          <w:b/>
          <w:bCs/>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人机界面</w:t>
      </w:r>
    </w:p>
    <w:p w14:paraId="2700AF1E">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多终端交互配置</w:t>
      </w:r>
    </w:p>
    <w:p w14:paraId="6544749D">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本智能控制系统应配套本地实体操作台、工业触摸屏作为现场核心操作终端，可配套远程移动端实现设备状态远程监视。</w:t>
      </w:r>
    </w:p>
    <w:p w14:paraId="19F51371">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操作权限分级管理</w:t>
      </w:r>
    </w:p>
    <w:p w14:paraId="22C1E900">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本智能控制系统应设置多级操作权限分级管控机制，区分操作员、运维员、管理员权限，权责隔离、操作全程留痕，远程移动端只能作为监视，禁止远程操控。</w:t>
      </w:r>
    </w:p>
    <w:p w14:paraId="12653F1F">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声光报警布置</w:t>
      </w:r>
    </w:p>
    <w:p w14:paraId="50D3748A">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智能控制系统应依据现场作业分区布设标准化声光报警装置，应有故障、超限、安全联锁报警提示。</w:t>
      </w:r>
    </w:p>
    <w:p w14:paraId="546F5AE1">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default"/>
          <w:b/>
          <w:bCs/>
          <w:color w:val="000000" w:themeColor="text1"/>
          <w:lang w:val="en-US" w:eastAsia="zh-CN"/>
          <w14:textFill>
            <w14:solidFill>
              <w14:schemeClr w14:val="tx1"/>
            </w14:solidFill>
          </w14:textFill>
        </w:rPr>
        <w:t>.</w:t>
      </w:r>
      <w:r>
        <w:rPr>
          <w:rFonts w:hint="eastAsia"/>
          <w:b/>
          <w:bCs/>
          <w:color w:val="000000" w:themeColor="text1"/>
          <w:lang w:val="en-US" w:eastAsia="zh-CN"/>
          <w14:textFill>
            <w14:solidFill>
              <w14:schemeClr w14:val="tx1"/>
            </w14:solidFill>
          </w14:textFill>
        </w:rPr>
        <w:t>7</w:t>
      </w:r>
      <w:r>
        <w:rPr>
          <w:rFonts w:hint="default"/>
          <w:b/>
          <w:bCs/>
          <w:color w:val="000000" w:themeColor="text1"/>
          <w:lang w:val="en-US" w:eastAsia="zh-CN"/>
          <w14:textFill>
            <w14:solidFill>
              <w14:schemeClr w14:val="tx1"/>
            </w14:solidFill>
          </w14:textFill>
        </w:rPr>
        <w:t>.</w:t>
      </w:r>
      <w:r>
        <w:rPr>
          <w:rFonts w:hint="eastAsia"/>
          <w:b/>
          <w:bCs/>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数据接口与通信</w:t>
      </w:r>
    </w:p>
    <w:p w14:paraId="56C3B2B1">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现场总线与工业以太网选型</w:t>
      </w:r>
    </w:p>
    <w:p w14:paraId="753F888C">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本智能控制系统设备底层控制链路应选用成熟、工业级现场总线，应具备EMC工业级电磁兼容防护等级。</w:t>
      </w:r>
    </w:p>
    <w:p w14:paraId="1E473931">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标准化通信协议</w:t>
      </w:r>
    </w:p>
    <w:p w14:paraId="2644CA4E">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符合使用条件的，多总线交互宜选基于OPC UA协议，为适配云端及监管平台数据传输需求，应采用MQTT协议进行数据推送。</w:t>
      </w:r>
    </w:p>
    <w:p w14:paraId="0AD0D080">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上层管理系统接口</w:t>
      </w:r>
    </w:p>
    <w:p w14:paraId="429DDCD2">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本智能控制系统应预留标准化、可拓展的上层系统对接接口，以实现与项目智慧管理系统、企业运维管理系统的数据互通。</w:t>
      </w:r>
    </w:p>
    <w:p w14:paraId="71B068FB">
      <w:pPr>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default"/>
          <w:b/>
          <w:bCs/>
          <w:color w:val="000000" w:themeColor="text1"/>
          <w:lang w:val="en-US" w:eastAsia="zh-CN"/>
          <w14:textFill>
            <w14:solidFill>
              <w14:schemeClr w14:val="tx1"/>
            </w14:solidFill>
          </w14:textFill>
        </w:rPr>
        <w:t>.</w:t>
      </w:r>
      <w:r>
        <w:rPr>
          <w:rFonts w:hint="eastAsia"/>
          <w:b/>
          <w:bCs/>
          <w:color w:val="000000" w:themeColor="text1"/>
          <w:lang w:val="en-US" w:eastAsia="zh-CN"/>
          <w14:textFill>
            <w14:solidFill>
              <w14:schemeClr w14:val="tx1"/>
            </w14:solidFill>
          </w14:textFill>
        </w:rPr>
        <w:t>7</w:t>
      </w:r>
      <w:r>
        <w:rPr>
          <w:rFonts w:hint="default"/>
          <w:b/>
          <w:bCs/>
          <w:color w:val="000000" w:themeColor="text1"/>
          <w:lang w:val="en-US" w:eastAsia="zh-CN"/>
          <w14:textFill>
            <w14:solidFill>
              <w14:schemeClr w14:val="tx1"/>
            </w14:solidFill>
          </w14:textFill>
        </w:rPr>
        <w:t>.</w:t>
      </w:r>
      <w:r>
        <w:rPr>
          <w:rFonts w:hint="eastAsia"/>
          <w:b/>
          <w:bCs/>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 xml:space="preserve">  与智慧工地平台对接</w:t>
      </w:r>
    </w:p>
    <w:p w14:paraId="0172B1CB">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运行数据上传内容与格式</w:t>
      </w:r>
    </w:p>
    <w:p w14:paraId="4E33D8F8">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智能控制系统必须实时上传设备重大报警、安全限位状态等核心监管数据。所有上传数据严格遵循平台统一字段定义、数据精度、时间戳格式、报文编码及上传频次要求。</w:t>
      </w:r>
    </w:p>
    <w:p w14:paraId="0E3CA9B1">
      <w:pPr>
        <w:bidi w:val="0"/>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广州市智慧工地监管平台对接要求</w:t>
      </w:r>
    </w:p>
    <w:p w14:paraId="2FD5391F">
      <w:pPr>
        <w:bidi w:val="0"/>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智能控制系统应完全适配广州市智慧工地监管平台接入规范，系统应具备本地缓存、断线补传能力，保障监管数据连续完整。</w:t>
      </w:r>
    </w:p>
    <w:p w14:paraId="5E48A383">
      <w:pPr>
        <w:pStyle w:val="3"/>
      </w:pPr>
      <w:bookmarkStart w:id="106" w:name="_Toc2603"/>
      <w:bookmarkStart w:id="107" w:name="_Toc14635"/>
      <w:bookmarkStart w:id="108" w:name="_Toc31420"/>
      <w:r>
        <w:rPr>
          <w:rFonts w:hint="eastAsia"/>
        </w:rPr>
        <w:t>5</w:t>
      </w:r>
      <w:r>
        <w:t>.</w:t>
      </w:r>
      <w:r>
        <w:rPr>
          <w:rFonts w:hint="eastAsia"/>
        </w:rPr>
        <w:t>8</w:t>
      </w:r>
      <w:r>
        <w:t xml:space="preserve">  </w:t>
      </w:r>
      <w:r>
        <w:rPr>
          <w:rFonts w:hint="eastAsia"/>
        </w:rPr>
        <w:t>绿色低碳设计</w:t>
      </w:r>
      <w:bookmarkEnd w:id="106"/>
      <w:bookmarkEnd w:id="107"/>
      <w:bookmarkEnd w:id="108"/>
    </w:p>
    <w:p w14:paraId="43B0DDDB">
      <w:r>
        <w:rPr>
          <w:rFonts w:hint="eastAsia"/>
          <w:b/>
          <w:bCs/>
        </w:rPr>
        <w:t>5</w:t>
      </w:r>
      <w:r>
        <w:rPr>
          <w:b/>
          <w:bCs/>
        </w:rPr>
        <w:t>.</w:t>
      </w:r>
      <w:r>
        <w:rPr>
          <w:rFonts w:hint="eastAsia"/>
          <w:b/>
          <w:bCs/>
        </w:rPr>
        <w:t>8</w:t>
      </w:r>
      <w:r>
        <w:rPr>
          <w:b/>
          <w:bCs/>
        </w:rPr>
        <w:t>.1</w:t>
      </w:r>
      <w:r>
        <w:rPr>
          <w:rFonts w:hint="eastAsia"/>
        </w:rPr>
        <w:t xml:space="preserve">  绿色设计原则</w:t>
      </w:r>
    </w:p>
    <w:p w14:paraId="60A5617F">
      <w:pPr>
        <w:ind w:firstLine="420"/>
        <w:rPr>
          <w:rFonts w:hint="eastAsia" w:eastAsia="宋体"/>
          <w:lang w:eastAsia="zh-CN"/>
        </w:rPr>
      </w:pPr>
      <w:r>
        <w:t>集成平台的设计应贯穿从原材料获取、制造、运输、安装、使用、维护、改造到最终拆除和回收的全生命周期，系统性地评估并降低其对环境的影响。设计过程中应优先采用可再生、可循环和可回收的建筑材料，通过优化设计减少材料消耗，提高资源利用效率。同时，设计应致力于减少平台在施工过程中产生的废气、废水、固体废弃物、噪声和光污染，切实保护施工现场及周边的生态环境。</w:t>
      </w:r>
    </w:p>
    <w:p w14:paraId="5556DC4D">
      <w:r>
        <w:rPr>
          <w:rFonts w:hint="eastAsia"/>
          <w:b/>
          <w:bCs/>
        </w:rPr>
        <w:t>5</w:t>
      </w:r>
      <w:r>
        <w:rPr>
          <w:b/>
          <w:bCs/>
        </w:rPr>
        <w:t>.</w:t>
      </w:r>
      <w:r>
        <w:rPr>
          <w:rFonts w:hint="eastAsia"/>
          <w:b/>
          <w:bCs/>
        </w:rPr>
        <w:t>8</w:t>
      </w:r>
      <w:r>
        <w:rPr>
          <w:b/>
          <w:bCs/>
        </w:rPr>
        <w:t>.2</w:t>
      </w:r>
      <w:r>
        <w:rPr>
          <w:rFonts w:hint="eastAsia"/>
        </w:rPr>
        <w:t xml:space="preserve">  节能技术</w:t>
      </w:r>
    </w:p>
    <w:p w14:paraId="4B31E992">
      <w:pPr>
        <w:ind w:firstLine="420"/>
      </w:pPr>
      <w:r>
        <w:t>平台的液压系统、电气驱动系统等动力系统应优先选用高效率、低能耗的设备和组件，以减少能源在转换和传输过程中的损失。鼓励采用智能能源管理系统，对平台上的主要耗能设备进行实时监控和优化调度，有效避免空载和待机能耗。在条件允许的情况下，宜探索利用太阳能、风能等可再生能源为平台的照明、监控等低功耗系统供电，进一步降低传统能源消耗。</w:t>
      </w:r>
    </w:p>
    <w:p w14:paraId="5F3A3B8D">
      <w:r>
        <w:rPr>
          <w:rFonts w:hint="eastAsia"/>
          <w:b/>
          <w:bCs/>
        </w:rPr>
        <w:t>5</w:t>
      </w:r>
      <w:r>
        <w:rPr>
          <w:b/>
          <w:bCs/>
        </w:rPr>
        <w:t>.</w:t>
      </w:r>
      <w:r>
        <w:rPr>
          <w:rFonts w:hint="eastAsia"/>
          <w:b/>
          <w:bCs/>
        </w:rPr>
        <w:t>8</w:t>
      </w:r>
      <w:r>
        <w:rPr>
          <w:b/>
          <w:bCs/>
        </w:rPr>
        <w:t>.3</w:t>
      </w:r>
      <w:r>
        <w:rPr>
          <w:rFonts w:hint="eastAsia"/>
        </w:rPr>
        <w:t xml:space="preserve">  节材与材料优化</w:t>
      </w:r>
      <w:bookmarkStart w:id="109" w:name="_Toc27626"/>
    </w:p>
    <w:p w14:paraId="265F5F27">
      <w:pPr>
        <w:ind w:firstLine="420"/>
      </w:pPr>
      <w:r>
        <w:t>设计应通过结构优化分析，在确保安全的前提下实现结构轻量化，并鼓励使用高性能、长寿命的材料，以延长平台及其构件的使用寿命和周转次数。在材料选择上，涂装、密封等材料应符合国家环保标准，优先选用低挥发性有机化合物（VOC）含量的产品，且制造和施工工艺应减少对环境有害物质的使用和排放。此外，平台设计应集成或预留废弃物分类收集、雨水收集、喷淋降尘等环保设施的安装接口，从源头控制施工污染。</w:t>
      </w:r>
    </w:p>
    <w:p w14:paraId="3F0162DB">
      <w:pPr>
        <w:pStyle w:val="3"/>
      </w:pPr>
      <w:bookmarkStart w:id="110" w:name="_Toc8518"/>
      <w:bookmarkStart w:id="111" w:name="_Toc12973"/>
      <w:r>
        <w:rPr>
          <w:rFonts w:hint="eastAsia"/>
        </w:rPr>
        <w:t>5</w:t>
      </w:r>
      <w:r>
        <w:t>.</w:t>
      </w:r>
      <w:r>
        <w:rPr>
          <w:rFonts w:hint="eastAsia"/>
        </w:rPr>
        <w:t>9</w:t>
      </w:r>
      <w:r>
        <w:t xml:space="preserve">  </w:t>
      </w:r>
      <w:r>
        <w:rPr>
          <w:rFonts w:hint="eastAsia"/>
        </w:rPr>
        <w:t>设计文件要求</w:t>
      </w:r>
      <w:bookmarkEnd w:id="109"/>
      <w:bookmarkEnd w:id="110"/>
      <w:bookmarkEnd w:id="111"/>
    </w:p>
    <w:p w14:paraId="333A48FF">
      <w:r>
        <w:rPr>
          <w:rFonts w:hint="eastAsia"/>
          <w:b/>
          <w:bCs/>
        </w:rPr>
        <w:t>5</w:t>
      </w:r>
      <w:r>
        <w:rPr>
          <w:b/>
          <w:bCs/>
        </w:rPr>
        <w:t>.</w:t>
      </w:r>
      <w:r>
        <w:rPr>
          <w:rFonts w:hint="eastAsia"/>
          <w:b/>
          <w:bCs/>
        </w:rPr>
        <w:t>9</w:t>
      </w:r>
      <w:r>
        <w:rPr>
          <w:b/>
          <w:bCs/>
        </w:rPr>
        <w:t>.1</w:t>
      </w:r>
      <w:r>
        <w:rPr>
          <w:rFonts w:hint="eastAsia"/>
        </w:rPr>
        <w:t xml:space="preserve">  设计计算书</w:t>
      </w:r>
    </w:p>
    <w:p w14:paraId="09E9073F">
      <w:pPr>
        <w:ind w:firstLine="420"/>
      </w:pPr>
      <w:r>
        <w:t>设计计算书应全面反映结构、机械、电气、液压、智能控制等各专业的设计计算过程和结果，确保内容完整无遗漏。计算书中所采用的计算模型、荷载取值、边界条件、材料参数等必须准确无误，且计算方法应符合国家现行相关标准的规定。所有设计依据、假设条件和计算步骤应清晰记录，确保计算过程和结论可以被审查和验证，具备良好的可追溯性。</w:t>
      </w:r>
    </w:p>
    <w:p w14:paraId="061F32B7">
      <w:r>
        <w:rPr>
          <w:rFonts w:hint="eastAsia"/>
          <w:b/>
          <w:bCs/>
        </w:rPr>
        <w:t>5</w:t>
      </w:r>
      <w:r>
        <w:rPr>
          <w:b/>
          <w:bCs/>
        </w:rPr>
        <w:t>.</w:t>
      </w:r>
      <w:r>
        <w:rPr>
          <w:rFonts w:hint="eastAsia"/>
          <w:b/>
          <w:bCs/>
        </w:rPr>
        <w:t>9</w:t>
      </w:r>
      <w:r>
        <w:rPr>
          <w:b/>
          <w:bCs/>
        </w:rPr>
        <w:t>.2</w:t>
      </w:r>
      <w:r>
        <w:rPr>
          <w:rFonts w:hint="eastAsia"/>
        </w:rPr>
        <w:t xml:space="preserve">  全套图纸</w:t>
      </w:r>
    </w:p>
    <w:p w14:paraId="79259C03">
      <w:pPr>
        <w:ind w:firstLine="420"/>
      </w:pPr>
      <w:r>
        <w:t>设计图纸应构成一个完整的系统，包括总装图、部件图、零件图、电气原理图、液压原理图等，能够全面指导平台的制造、安装和调试。图纸中的尺寸、公差、技术要求和材料标注应准确、清晰、无歧义，并符合国家制图标准。各专业图纸之间应保持高度协调，避免出现“错、漏、碰、缺”等问题，确保设计意图的准确传达。</w:t>
      </w:r>
    </w:p>
    <w:p w14:paraId="12BB62B0">
      <w:r>
        <w:rPr>
          <w:rFonts w:hint="eastAsia"/>
          <w:b/>
          <w:bCs/>
        </w:rPr>
        <w:t>5</w:t>
      </w:r>
      <w:r>
        <w:rPr>
          <w:b/>
          <w:bCs/>
        </w:rPr>
        <w:t>.</w:t>
      </w:r>
      <w:r>
        <w:rPr>
          <w:rFonts w:hint="eastAsia"/>
          <w:b/>
          <w:bCs/>
        </w:rPr>
        <w:t>9</w:t>
      </w:r>
      <w:r>
        <w:rPr>
          <w:b/>
          <w:bCs/>
        </w:rPr>
        <w:t>.3</w:t>
      </w:r>
      <w:r>
        <w:rPr>
          <w:rFonts w:hint="eastAsia"/>
        </w:rPr>
        <w:t xml:space="preserve">  设计说明</w:t>
      </w:r>
    </w:p>
    <w:p w14:paraId="2E595D89">
      <w:pPr>
        <w:ind w:firstLine="420"/>
      </w:pPr>
      <w:r>
        <w:t>设计说明应清</w:t>
      </w:r>
      <w:r>
        <w:rPr>
          <w:rFonts w:hint="eastAsia"/>
          <w:lang w:eastAsia="zh-CN"/>
        </w:rPr>
        <w:t>晰地</w:t>
      </w:r>
      <w:r>
        <w:t>阐述设计意图、技术参数、性能指标以及关键部位的施工和验收要求，为后续环节提供明确指导。说明文件中应包含完整的材料清单、标准件清单、外购件清单以及必要的设计变更记录。同时，必须明确平台在安装、使用、爬升、维护和拆除等全过程中的安全注意事项和应急措施，保障施工安全。</w:t>
      </w:r>
    </w:p>
    <w:p w14:paraId="6ECB967D">
      <w:r>
        <w:rPr>
          <w:rFonts w:hint="eastAsia"/>
          <w:b/>
          <w:bCs/>
        </w:rPr>
        <w:t>5</w:t>
      </w:r>
      <w:r>
        <w:rPr>
          <w:b/>
          <w:bCs/>
        </w:rPr>
        <w:t>.</w:t>
      </w:r>
      <w:r>
        <w:rPr>
          <w:rFonts w:hint="eastAsia"/>
          <w:b/>
          <w:bCs/>
        </w:rPr>
        <w:t>9</w:t>
      </w:r>
      <w:r>
        <w:rPr>
          <w:b/>
          <w:bCs/>
        </w:rPr>
        <w:t>.</w:t>
      </w:r>
      <w:r>
        <w:rPr>
          <w:rFonts w:hint="eastAsia"/>
          <w:b/>
          <w:bCs/>
        </w:rPr>
        <w:t>4</w:t>
      </w:r>
      <w:r>
        <w:rPr>
          <w:rFonts w:hint="eastAsia"/>
        </w:rPr>
        <w:t xml:space="preserve">  BIM模型</w:t>
      </w:r>
    </w:p>
    <w:p w14:paraId="13592EFA">
      <w:pPr>
        <w:ind w:firstLine="420"/>
      </w:pPr>
      <w:r>
        <w:t>BIM模型</w:t>
      </w:r>
      <w:r>
        <w:rPr>
          <w:rFonts w:hint="eastAsia"/>
          <w:lang w:val="en-US" w:eastAsia="zh-CN"/>
        </w:rPr>
        <w:t>宜</w:t>
      </w:r>
      <w:r>
        <w:t>作为设计信息的集成载体，包含几何信息和非几何信息（如材料、性能、制造商等），实现信息的数字化交付。设计过程中应利用BIM技术进行多专业协同设计和碰撞检查，提前发现并解决设计冲突。BIM模型还应具备良好的扩展性，能够支持后续的施工模拟、进度管理、智慧运维等数字化应用，为项目的全生命周期管理提供数据支撑。</w:t>
      </w:r>
    </w:p>
    <w:p w14:paraId="72AA37EB">
      <w:pPr>
        <w:rPr>
          <w:rFonts w:hint="eastAsia"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br w:type="page"/>
      </w:r>
    </w:p>
    <w:p w14:paraId="5ED00B0A">
      <w:pPr>
        <w:pStyle w:val="2"/>
        <w:bidi w:val="0"/>
        <w:rPr>
          <w:rFonts w:hint="default"/>
          <w:color w:val="000000" w:themeColor="text1"/>
          <w:lang w:val="en-US" w:eastAsia="zh-CN"/>
          <w14:textFill>
            <w14:solidFill>
              <w14:schemeClr w14:val="tx1"/>
            </w14:solidFill>
          </w14:textFill>
        </w:rPr>
      </w:pPr>
      <w:bookmarkStart w:id="112" w:name="_Toc29128"/>
      <w:bookmarkStart w:id="113" w:name="_Toc19728"/>
      <w:r>
        <w:rPr>
          <w:rFonts w:hint="eastAsia"/>
          <w:color w:val="000000" w:themeColor="text1"/>
          <w:lang w:val="en-US" w:eastAsia="zh-CN"/>
          <w14:textFill>
            <w14:solidFill>
              <w14:schemeClr w14:val="tx1"/>
            </w14:solidFill>
          </w14:textFill>
        </w:rPr>
        <w:t>第6章</w:t>
      </w:r>
      <w:r>
        <w:rPr>
          <w:color w:val="000000" w:themeColor="text1"/>
          <w14:textFill>
            <w14:solidFill>
              <w14:schemeClr w14:val="tx1"/>
            </w14:solidFill>
          </w14:textFill>
        </w:rPr>
        <w:t xml:space="preserve">  </w:t>
      </w:r>
      <w:bookmarkEnd w:id="112"/>
      <w:r>
        <w:rPr>
          <w:rFonts w:hint="eastAsia"/>
          <w:color w:val="000000" w:themeColor="text1"/>
          <w:lang w:val="en-US" w:eastAsia="zh-CN"/>
          <w14:textFill>
            <w14:solidFill>
              <w14:schemeClr w14:val="tx1"/>
            </w14:solidFill>
          </w14:textFill>
        </w:rPr>
        <w:t>智能装备集成与数智化技术应用</w:t>
      </w:r>
      <w:bookmarkEnd w:id="113"/>
    </w:p>
    <w:p w14:paraId="7BEBCD2A">
      <w:pPr>
        <w:pStyle w:val="3"/>
        <w:bidi w:val="0"/>
        <w:rPr>
          <w:rFonts w:hint="eastAsia"/>
          <w:b/>
          <w:bCs/>
          <w:color w:val="000000" w:themeColor="text1"/>
          <w:lang w:val="en-US" w:eastAsia="zh-CN"/>
          <w14:textFill>
            <w14:solidFill>
              <w14:schemeClr w14:val="tx1"/>
            </w14:solidFill>
          </w14:textFill>
        </w:rPr>
      </w:pPr>
      <w:bookmarkStart w:id="114" w:name="_Toc17322"/>
      <w:bookmarkStart w:id="115" w:name="_Toc23507"/>
      <w:bookmarkStart w:id="116" w:name="_Toc9920"/>
      <w:bookmarkStart w:id="117" w:name="_Toc30308"/>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 xml:space="preserve">.1  </w:t>
      </w:r>
      <w:r>
        <w:rPr>
          <w:rFonts w:hint="eastAsia"/>
          <w:color w:val="000000" w:themeColor="text1"/>
          <w:lang w:val="en-US" w:eastAsia="zh-CN"/>
          <w14:textFill>
            <w14:solidFill>
              <w14:schemeClr w14:val="tx1"/>
            </w14:solidFill>
          </w14:textFill>
        </w:rPr>
        <w:t>智能装备集成与控制</w:t>
      </w:r>
      <w:bookmarkEnd w:id="114"/>
      <w:bookmarkEnd w:id="115"/>
      <w:bookmarkEnd w:id="116"/>
    </w:p>
    <w:p w14:paraId="1589812D">
      <w:pPr>
        <w:bidi w:val="0"/>
        <w:rPr>
          <w:rFonts w:hint="default" w:ascii="Times New Roman" w:hAnsi="Times New Roman" w:eastAsia="宋体" w:cs="Times New Roman"/>
          <w:b/>
          <w:bCs/>
          <w:lang w:val="en-US" w:eastAsia="zh-CN"/>
        </w:rPr>
      </w:pPr>
      <w:bookmarkStart w:id="118" w:name="_Toc5678"/>
      <w:r>
        <w:rPr>
          <w:rFonts w:hint="eastAsia" w:ascii="Times New Roman" w:hAnsi="Times New Roman" w:eastAsia="宋体" w:cs="Times New Roman"/>
          <w:b/>
          <w:bCs/>
          <w:lang w:val="en-US" w:eastAsia="zh-CN"/>
        </w:rPr>
        <w:t>6</w:t>
      </w:r>
      <w:r>
        <w:rPr>
          <w:rFonts w:hint="default" w:ascii="Times New Roman" w:hAnsi="Times New Roman" w:eastAsia="宋体" w:cs="Times New Roman"/>
          <w:b/>
          <w:bCs/>
          <w:lang w:val="en-US" w:eastAsia="zh-CN"/>
        </w:rPr>
        <w:t>.</w:t>
      </w:r>
      <w:r>
        <w:rPr>
          <w:rFonts w:hint="eastAsia" w:ascii="Times New Roman" w:hAnsi="Times New Roman" w:eastAsia="宋体" w:cs="Times New Roman"/>
          <w:b/>
          <w:bCs/>
          <w:lang w:val="en-US" w:eastAsia="zh-CN"/>
        </w:rPr>
        <w:t>1</w:t>
      </w:r>
      <w:r>
        <w:rPr>
          <w:rFonts w:hint="default" w:ascii="Times New Roman" w:hAnsi="Times New Roman" w:eastAsia="宋体" w:cs="Times New Roman"/>
          <w:b/>
          <w:bCs/>
          <w:lang w:val="en-US" w:eastAsia="zh-CN"/>
        </w:rPr>
        <w:t>.1</w:t>
      </w:r>
      <w:r>
        <w:rPr>
          <w:rFonts w:hint="eastAsia" w:ascii="Times New Roman" w:hAnsi="Times New Roman" w:eastAsia="宋体" w:cs="Times New Roman"/>
          <w:b/>
          <w:bCs/>
          <w:lang w:val="en-US" w:eastAsia="zh-CN"/>
        </w:rPr>
        <w:t xml:space="preserve">  </w:t>
      </w:r>
      <w:bookmarkEnd w:id="117"/>
      <w:r>
        <w:rPr>
          <w:rFonts w:hint="default" w:ascii="Times New Roman" w:hAnsi="Times New Roman" w:eastAsia="宋体" w:cs="Times New Roman"/>
          <w:b w:val="0"/>
          <w:bCs w:val="0"/>
          <w:lang w:val="en-US" w:eastAsia="zh-CN"/>
        </w:rPr>
        <w:t>一般规定</w:t>
      </w:r>
      <w:bookmarkEnd w:id="118"/>
    </w:p>
    <w:p w14:paraId="3CB0076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平台宜预留智能装备的标准化集成接口，包括机械接口、电气接口、通信接口及数据接口，满足多类型智能装备的即插即用需求。</w:t>
      </w:r>
    </w:p>
    <w:p w14:paraId="3C46F433">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智能装备控制系统宜与平台主控系统实现数据互通，支持装备状态实时监测、远程控制及协同作业。</w:t>
      </w:r>
    </w:p>
    <w:p w14:paraId="669E2947">
      <w:pPr>
        <w:bidi w:val="0"/>
        <w:rPr>
          <w:rFonts w:hint="eastAsia" w:ascii="Times New Roman" w:hAnsi="Times New Roman" w:eastAsia="宋体" w:cs="Times New Roman"/>
          <w:b/>
          <w:bCs/>
          <w:lang w:val="en-US" w:eastAsia="zh-CN"/>
        </w:rPr>
      </w:pPr>
      <w:bookmarkStart w:id="119" w:name="_Toc9385"/>
      <w:r>
        <w:rPr>
          <w:rFonts w:hint="eastAsia" w:ascii="Times New Roman" w:hAnsi="Times New Roman" w:eastAsia="宋体" w:cs="Times New Roman"/>
          <w:b/>
          <w:bCs/>
          <w:lang w:val="en-US" w:eastAsia="zh-CN"/>
        </w:rPr>
        <w:t xml:space="preserve">6.1.2  </w:t>
      </w:r>
      <w:r>
        <w:rPr>
          <w:rFonts w:hint="eastAsia" w:ascii="Times New Roman" w:hAnsi="Times New Roman" w:eastAsia="宋体" w:cs="Times New Roman"/>
          <w:b w:val="0"/>
          <w:bCs w:val="0"/>
          <w:lang w:val="en-US" w:eastAsia="zh-CN"/>
        </w:rPr>
        <w:t>自动布料机集成</w:t>
      </w:r>
      <w:bookmarkEnd w:id="119"/>
    </w:p>
    <w:p w14:paraId="66C27973">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系统集成：自动布料机宜与平台结构系统、模板系统、混凝土泵送系统实现一体化集成。</w:t>
      </w:r>
    </w:p>
    <w:p w14:paraId="11BAEF4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智能控制：宜具备自动路径规划功能，根据浇筑区域BIM模型和浇筑方案自动生成布料轨迹；支持与泵送流量联动控制，实现“泵送－布料”协同作业。</w:t>
      </w:r>
    </w:p>
    <w:p w14:paraId="006AA0D0">
      <w:pPr>
        <w:bidi w:val="0"/>
        <w:rPr>
          <w:rFonts w:hint="eastAsia" w:ascii="Times New Roman" w:hAnsi="Times New Roman" w:eastAsia="宋体" w:cs="Times New Roman"/>
          <w:b/>
          <w:bCs/>
          <w:lang w:val="en-US" w:eastAsia="zh-CN"/>
        </w:rPr>
      </w:pPr>
      <w:bookmarkStart w:id="120" w:name="_Toc25231"/>
      <w:r>
        <w:rPr>
          <w:rFonts w:hint="eastAsia" w:ascii="Times New Roman" w:hAnsi="Times New Roman" w:eastAsia="宋体" w:cs="Times New Roman"/>
          <w:b/>
          <w:bCs/>
          <w:lang w:val="en-US" w:eastAsia="zh-CN"/>
        </w:rPr>
        <w:t xml:space="preserve">6.1.3  </w:t>
      </w:r>
      <w:r>
        <w:rPr>
          <w:rFonts w:hint="eastAsia" w:ascii="Times New Roman" w:hAnsi="Times New Roman" w:eastAsia="宋体" w:cs="Times New Roman"/>
          <w:b w:val="0"/>
          <w:bCs w:val="0"/>
          <w:lang w:val="en-US" w:eastAsia="zh-CN"/>
        </w:rPr>
        <w:t>自动天幕雨棚集成</w:t>
      </w:r>
      <w:bookmarkEnd w:id="120"/>
    </w:p>
    <w:p w14:paraId="6B5167B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智能控制：宜具备风雨自动感知与响应能力，当风速超过设定阈值或降雨感应触发时，应在规定时间内完成展开或收拢动作。</w:t>
      </w:r>
    </w:p>
    <w:p w14:paraId="4EBB2EB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结构安全：天幕雨棚的抗风设计应满足广州地区基本风压要求。</w:t>
      </w:r>
    </w:p>
    <w:p w14:paraId="20638733">
      <w:pPr>
        <w:bidi w:val="0"/>
        <w:rPr>
          <w:rFonts w:hint="eastAsia" w:ascii="Times New Roman" w:hAnsi="Times New Roman" w:eastAsia="宋体" w:cs="Times New Roman"/>
          <w:b/>
          <w:bCs/>
          <w:lang w:val="en-US" w:eastAsia="zh-CN"/>
        </w:rPr>
      </w:pPr>
      <w:bookmarkStart w:id="121" w:name="_Toc14982"/>
      <w:r>
        <w:rPr>
          <w:rFonts w:hint="eastAsia" w:ascii="Times New Roman" w:hAnsi="Times New Roman" w:eastAsia="宋体" w:cs="Times New Roman"/>
          <w:b/>
          <w:bCs/>
          <w:lang w:val="en-US" w:eastAsia="zh-CN"/>
        </w:rPr>
        <w:t xml:space="preserve">6.1.4  </w:t>
      </w:r>
      <w:r>
        <w:rPr>
          <w:rFonts w:hint="eastAsia" w:ascii="Times New Roman" w:hAnsi="Times New Roman" w:eastAsia="宋体" w:cs="Times New Roman"/>
          <w:b w:val="0"/>
          <w:bCs w:val="0"/>
          <w:lang w:val="en-US" w:eastAsia="zh-CN"/>
        </w:rPr>
        <w:t>建筑机器人集成接口</w:t>
      </w:r>
      <w:bookmarkEnd w:id="121"/>
    </w:p>
    <w:p w14:paraId="2B8AFF4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highlight w:val="none"/>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机械接口：平台宜设置标准化的机器人安装基座、滑轨接口及快拆连接件</w:t>
      </w:r>
      <w:r>
        <w:rPr>
          <w:rFonts w:hint="eastAsia"/>
          <w:b w:val="0"/>
          <w:bCs w:val="0"/>
          <w:color w:val="000000" w:themeColor="text1"/>
          <w:highlight w:val="none"/>
          <w:lang w:val="en-US" w:eastAsia="zh-CN"/>
          <w14:textFill>
            <w14:solidFill>
              <w14:schemeClr w14:val="tx1"/>
            </w14:solidFill>
          </w14:textFill>
        </w:rPr>
        <w:t>，适应钢筋、混凝土、模板、质量安全检测等不同类型机器人的快速部署与更换。</w:t>
      </w:r>
    </w:p>
    <w:p w14:paraId="311BE150">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电气接口：宜提供多规格供电接口（AC380V/220V、DC48V/24V），并配备漏电保护、过载保护及应急断电功能。</w:t>
      </w:r>
    </w:p>
    <w:p w14:paraId="35E7D5A3">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通信接口：宜提供有线（工业以太网、RS485）与无线（5G、Wi-Fi 6）双模通信接入点，通信延迟不宜大于50ms，丢包率不宜大于0.1%。</w:t>
      </w:r>
    </w:p>
    <w:p w14:paraId="5FC988D7">
      <w:pPr>
        <w:bidi w:val="0"/>
        <w:rPr>
          <w:rFonts w:hint="eastAsia" w:ascii="Times New Roman" w:hAnsi="Times New Roman" w:eastAsia="宋体" w:cs="Times New Roman"/>
          <w:b/>
          <w:bCs/>
          <w:lang w:val="en-US" w:eastAsia="zh-CN"/>
        </w:rPr>
      </w:pPr>
      <w:bookmarkStart w:id="122" w:name="_Toc21654"/>
      <w:r>
        <w:rPr>
          <w:rFonts w:hint="eastAsia" w:ascii="Times New Roman" w:hAnsi="Times New Roman" w:eastAsia="宋体" w:cs="Times New Roman"/>
          <w:b/>
          <w:bCs/>
          <w:lang w:val="en-US" w:eastAsia="zh-CN"/>
        </w:rPr>
        <w:t xml:space="preserve">6.1.5  </w:t>
      </w:r>
      <w:r>
        <w:rPr>
          <w:rFonts w:hint="eastAsia" w:ascii="Times New Roman" w:hAnsi="Times New Roman" w:eastAsia="宋体" w:cs="Times New Roman"/>
          <w:b w:val="0"/>
          <w:bCs w:val="0"/>
          <w:lang w:val="en-US" w:eastAsia="zh-CN"/>
        </w:rPr>
        <w:t>其他智能装备集成</w:t>
      </w:r>
      <w:bookmarkEnd w:id="122"/>
    </w:p>
    <w:p w14:paraId="1463446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环境监测装备：宜集成温湿度、PM2.5、PM10、噪声、VOCs等多参数环境监测传感器，数据实时上传至平台智慧工地系统。</w:t>
      </w:r>
    </w:p>
    <w:p w14:paraId="1A2824EB">
      <w:pPr>
        <w:pStyle w:val="3"/>
        <w:bidi w:val="0"/>
        <w:rPr>
          <w:rFonts w:hint="eastAsia"/>
          <w:b/>
          <w:bCs/>
          <w:color w:val="000000" w:themeColor="text1"/>
          <w:lang w:val="en-US" w:eastAsia="zh-CN"/>
          <w14:textFill>
            <w14:solidFill>
              <w14:schemeClr w14:val="tx1"/>
            </w14:solidFill>
          </w14:textFill>
        </w:rPr>
      </w:pPr>
      <w:bookmarkStart w:id="123" w:name="_Toc23479"/>
      <w:bookmarkStart w:id="124" w:name="_Toc28429"/>
      <w:bookmarkStart w:id="125" w:name="_Toc2266"/>
      <w:bookmarkStart w:id="126" w:name="_Toc4823"/>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建筑机器人协同控制</w:t>
      </w:r>
      <w:bookmarkEnd w:id="123"/>
      <w:bookmarkEnd w:id="124"/>
      <w:bookmarkEnd w:id="125"/>
    </w:p>
    <w:p w14:paraId="0C16FB66">
      <w:pPr>
        <w:bidi w:val="0"/>
        <w:rPr>
          <w:rFonts w:hint="eastAsia" w:ascii="Times New Roman" w:hAnsi="Times New Roman" w:eastAsia="宋体" w:cs="Times New Roman"/>
          <w:b/>
          <w:bCs/>
          <w:lang w:val="en-US" w:eastAsia="zh-CN"/>
        </w:rPr>
      </w:pPr>
      <w:bookmarkStart w:id="127" w:name="_Toc21714"/>
      <w:r>
        <w:rPr>
          <w:rFonts w:hint="eastAsia" w:ascii="Times New Roman" w:hAnsi="Times New Roman" w:eastAsia="宋体" w:cs="Times New Roman"/>
          <w:b/>
          <w:bCs/>
          <w:lang w:val="en-US" w:eastAsia="zh-CN"/>
        </w:rPr>
        <w:t xml:space="preserve">6.2.1  </w:t>
      </w:r>
      <w:r>
        <w:rPr>
          <w:rFonts w:hint="eastAsia" w:ascii="Times New Roman" w:hAnsi="Times New Roman" w:eastAsia="宋体" w:cs="Times New Roman"/>
          <w:b w:val="0"/>
          <w:bCs w:val="0"/>
          <w:lang w:val="en-US" w:eastAsia="zh-CN"/>
        </w:rPr>
        <w:t>一般规定</w:t>
      </w:r>
      <w:bookmarkEnd w:id="127"/>
    </w:p>
    <w:p w14:paraId="3D637E8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平台宜建立建筑机器人协同控制体系，实现多类型、多数量机器人在同一作业空间内的安全、高效、协同作业。</w:t>
      </w:r>
    </w:p>
    <w:p w14:paraId="0E01DBCF">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人机协作区域宜设置明确的安全分区，建立人机协作安全协议，确保人员与机器人共存场景下的本质安全。</w:t>
      </w:r>
    </w:p>
    <w:p w14:paraId="6FB1B2BC">
      <w:pPr>
        <w:bidi w:val="0"/>
        <w:rPr>
          <w:rFonts w:hint="eastAsia" w:ascii="Times New Roman" w:hAnsi="Times New Roman" w:eastAsia="宋体" w:cs="Times New Roman"/>
          <w:b/>
          <w:bCs/>
          <w:lang w:val="en-US" w:eastAsia="zh-CN"/>
        </w:rPr>
      </w:pPr>
      <w:bookmarkStart w:id="128" w:name="_Toc21177"/>
      <w:r>
        <w:rPr>
          <w:rFonts w:hint="eastAsia" w:ascii="Times New Roman" w:hAnsi="Times New Roman" w:eastAsia="宋体" w:cs="Times New Roman"/>
          <w:b/>
          <w:bCs/>
          <w:lang w:val="en-US" w:eastAsia="zh-CN"/>
        </w:rPr>
        <w:t xml:space="preserve">6.2.2  </w:t>
      </w:r>
      <w:r>
        <w:rPr>
          <w:rFonts w:hint="eastAsia" w:ascii="Times New Roman" w:hAnsi="Times New Roman" w:eastAsia="宋体" w:cs="Times New Roman"/>
          <w:b w:val="0"/>
          <w:bCs w:val="0"/>
          <w:lang w:val="en-US" w:eastAsia="zh-CN"/>
        </w:rPr>
        <w:t>多机器人调度系统</w:t>
      </w:r>
      <w:bookmarkEnd w:id="128"/>
    </w:p>
    <w:p w14:paraId="5FF3789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任务分配：宜采用基于多目标优化的任务分配算法，综合考虑任务优先级、机器人能力匹配度、路径成本及能耗因素，实现任务－机器人的最优指派。</w:t>
      </w:r>
    </w:p>
    <w:p w14:paraId="59FE711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防碰撞控制：宜建立多机器人时空冲突检测模型，采用基于优先级的时间窗法或速度障碍法（VO）实现机器人间防碰撞。</w:t>
      </w:r>
    </w:p>
    <w:p w14:paraId="37175DF2">
      <w:pPr>
        <w:bidi w:val="0"/>
        <w:rPr>
          <w:rFonts w:hint="eastAsia" w:ascii="Times New Roman" w:hAnsi="Times New Roman" w:eastAsia="宋体" w:cs="Times New Roman"/>
          <w:b/>
          <w:bCs/>
          <w:lang w:val="en-US" w:eastAsia="zh-CN"/>
        </w:rPr>
      </w:pPr>
      <w:bookmarkStart w:id="129" w:name="_Toc8014"/>
      <w:r>
        <w:rPr>
          <w:rFonts w:hint="eastAsia" w:ascii="Times New Roman" w:hAnsi="Times New Roman" w:eastAsia="宋体" w:cs="Times New Roman"/>
          <w:b/>
          <w:bCs/>
          <w:lang w:val="en-US" w:eastAsia="zh-CN"/>
        </w:rPr>
        <w:t xml:space="preserve">6.2.3  </w:t>
      </w:r>
      <w:r>
        <w:rPr>
          <w:rFonts w:hint="eastAsia" w:ascii="Times New Roman" w:hAnsi="Times New Roman" w:eastAsia="宋体" w:cs="Times New Roman"/>
          <w:b w:val="0"/>
          <w:bCs w:val="0"/>
          <w:lang w:val="en-US" w:eastAsia="zh-CN"/>
        </w:rPr>
        <w:t>机器人与平台联动</w:t>
      </w:r>
      <w:bookmarkEnd w:id="129"/>
    </w:p>
    <w:p w14:paraId="66FFDAE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位姿协同：机器人作业时，平台宜实时感知自身结构变形与位姿变化，通过补偿算法调整机器人末端执行器位姿，确保作业精度不受平台微振动影响。</w:t>
      </w:r>
    </w:p>
    <w:p w14:paraId="17E0B01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作业节拍协同：平台顶升、模板开合、钢筋绑扎、混凝土浇筑等工序宜与机器人作业节拍精准匹配，建立基于Petri网或有限状态机的工序联动模型。</w:t>
      </w:r>
    </w:p>
    <w:p w14:paraId="18F6F1C6">
      <w:pPr>
        <w:bidi w:val="0"/>
        <w:rPr>
          <w:rFonts w:hint="eastAsia" w:ascii="Times New Roman" w:hAnsi="Times New Roman" w:eastAsia="宋体" w:cs="Times New Roman"/>
          <w:b/>
          <w:bCs/>
          <w:lang w:val="en-US" w:eastAsia="zh-CN"/>
        </w:rPr>
      </w:pPr>
      <w:bookmarkStart w:id="130" w:name="_Toc8420"/>
      <w:r>
        <w:rPr>
          <w:rFonts w:hint="eastAsia" w:ascii="Times New Roman" w:hAnsi="Times New Roman" w:eastAsia="宋体" w:cs="Times New Roman"/>
          <w:b/>
          <w:bCs/>
          <w:lang w:val="en-US" w:eastAsia="zh-CN"/>
        </w:rPr>
        <w:t xml:space="preserve">6.2.4  </w:t>
      </w:r>
      <w:r>
        <w:rPr>
          <w:rFonts w:hint="eastAsia" w:ascii="Times New Roman" w:hAnsi="Times New Roman" w:eastAsia="宋体" w:cs="Times New Roman"/>
          <w:b w:val="0"/>
          <w:bCs w:val="0"/>
          <w:lang w:val="en-US" w:eastAsia="zh-CN"/>
        </w:rPr>
        <w:t>人机协作安全控制</w:t>
      </w:r>
      <w:bookmarkEnd w:id="130"/>
    </w:p>
    <w:p w14:paraId="78AFA00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安全分区管理：宜根据机器人作业风险等级，将平台作业区域划分为协作区、限制区与禁区，采用物理围栏、光栅、激光扫描仪及地面投影警示进行多级隔离。</w:t>
      </w:r>
    </w:p>
    <w:p w14:paraId="65FBE78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视觉安全监控：宜在人机协作区域部署3D视觉传感器，实时监测人员位置、姿态及与机器人的距离，当人员进入预警区域时，机器人应自动降速；进入危险区域时，应立即停止。</w:t>
      </w:r>
    </w:p>
    <w:p w14:paraId="0C9F016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系统层安全：平台层面建立统一的安全管理中心，汇聚所有机器人和智能装备的安全数据，实现安全态势的全局感知和应急联动。</w:t>
      </w:r>
    </w:p>
    <w:bookmarkEnd w:id="126"/>
    <w:p w14:paraId="716487C3">
      <w:pPr>
        <w:pStyle w:val="3"/>
        <w:bidi w:val="0"/>
        <w:rPr>
          <w:rFonts w:hint="eastAsia"/>
          <w:b/>
          <w:bCs/>
          <w:color w:val="000000" w:themeColor="text1"/>
          <w:lang w:val="en-US" w:eastAsia="zh-CN"/>
          <w14:textFill>
            <w14:solidFill>
              <w14:schemeClr w14:val="tx1"/>
            </w14:solidFill>
          </w14:textFill>
        </w:rPr>
      </w:pPr>
      <w:bookmarkStart w:id="131" w:name="_Toc20426"/>
      <w:bookmarkStart w:id="132" w:name="_Toc30610"/>
      <w:bookmarkStart w:id="133" w:name="_Toc1733"/>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BIM与数字孪生</w:t>
      </w:r>
      <w:bookmarkEnd w:id="131"/>
      <w:bookmarkEnd w:id="132"/>
      <w:bookmarkEnd w:id="133"/>
    </w:p>
    <w:p w14:paraId="7F168C9E">
      <w:pPr>
        <w:bidi w:val="0"/>
        <w:rPr>
          <w:rFonts w:hint="eastAsia" w:ascii="Times New Roman" w:hAnsi="Times New Roman" w:eastAsia="宋体" w:cs="Times New Roman"/>
          <w:b/>
          <w:bCs/>
          <w:lang w:val="en-US" w:eastAsia="zh-CN"/>
        </w:rPr>
      </w:pPr>
      <w:bookmarkStart w:id="134" w:name="_Toc27883"/>
      <w:r>
        <w:rPr>
          <w:rFonts w:hint="eastAsia" w:ascii="Times New Roman" w:hAnsi="Times New Roman" w:eastAsia="宋体" w:cs="Times New Roman"/>
          <w:b/>
          <w:bCs/>
          <w:lang w:val="en-US" w:eastAsia="zh-CN"/>
        </w:rPr>
        <w:t xml:space="preserve">6.3.1  </w:t>
      </w:r>
      <w:r>
        <w:rPr>
          <w:rFonts w:hint="eastAsia" w:ascii="Times New Roman" w:hAnsi="Times New Roman" w:eastAsia="宋体" w:cs="Times New Roman"/>
          <w:b w:val="0"/>
          <w:bCs w:val="0"/>
          <w:lang w:val="en-US" w:eastAsia="zh-CN"/>
        </w:rPr>
        <w:t>一般规定</w:t>
      </w:r>
      <w:bookmarkEnd w:id="134"/>
    </w:p>
    <w:p w14:paraId="70F47BF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平台宜建立覆盖设计、施工、运维全生命周期的BIM技术应用体系，并构建与物理平台实时映射的数字孪生系统。</w:t>
      </w:r>
    </w:p>
    <w:p w14:paraId="4C8E962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BIM模型精度宜满足施工阶段LOD400要求，关键节点及复杂构件宜达到LOD500。</w:t>
      </w:r>
    </w:p>
    <w:p w14:paraId="3D0D711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数字孪生系统宜具备实时数据驱动能力，实现物理平台状态向虚拟空间的同步映射，映射延迟不宜大于1s。</w:t>
      </w:r>
    </w:p>
    <w:p w14:paraId="0D259414">
      <w:pPr>
        <w:bidi w:val="0"/>
        <w:rPr>
          <w:rFonts w:hint="eastAsia" w:ascii="Times New Roman" w:hAnsi="Times New Roman" w:eastAsia="宋体" w:cs="Times New Roman"/>
          <w:b/>
          <w:bCs/>
          <w:lang w:val="en-US" w:eastAsia="zh-CN"/>
        </w:rPr>
      </w:pPr>
      <w:bookmarkStart w:id="135" w:name="_Toc15783"/>
      <w:r>
        <w:rPr>
          <w:rFonts w:hint="eastAsia" w:ascii="Times New Roman" w:hAnsi="Times New Roman" w:eastAsia="宋体" w:cs="Times New Roman"/>
          <w:b/>
          <w:bCs/>
          <w:lang w:val="en-US" w:eastAsia="zh-CN"/>
        </w:rPr>
        <w:t xml:space="preserve">6.3.2  </w:t>
      </w:r>
      <w:r>
        <w:rPr>
          <w:rFonts w:hint="eastAsia" w:ascii="Times New Roman" w:hAnsi="Times New Roman" w:eastAsia="宋体" w:cs="Times New Roman"/>
          <w:b w:val="0"/>
          <w:bCs w:val="0"/>
          <w:lang w:val="en-US" w:eastAsia="zh-CN"/>
        </w:rPr>
        <w:t>BIM全链条（LOD300→LOD500）</w:t>
      </w:r>
      <w:bookmarkEnd w:id="135"/>
    </w:p>
    <w:p w14:paraId="5ADC5B9F">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宜建立涵盖设计、生产、施工等不同阶段的协同设计机制，实现前置参与，统筹管理平台方案设计、初步设计、施工图设计和深化设计。</w:t>
      </w:r>
    </w:p>
    <w:p w14:paraId="6E3EC00E">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设计阶段（LOD300）：宜基于BIM进行平台方案设计、结构分析与建筑主体结构多专业协同，实现设计冲突自动检测。</w:t>
      </w:r>
    </w:p>
    <w:p w14:paraId="65BEBF5F">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深化设计阶段（LOD350-LOD400）：宜进行平台节点深化、预埋件定位、机电管线综合及智能装备布置模拟，将平台操作规范与施工工艺融入深化设计模型，满足施工作业需求，关键连接节点宜达到LOD400。</w:t>
      </w:r>
    </w:p>
    <w:p w14:paraId="782E72C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eastAsia"/>
          <w:b w:val="0"/>
          <w:bCs w:val="0"/>
          <w:color w:val="000000" w:themeColor="text1"/>
          <w:lang w:val="en-US" w:eastAsia="zh-CN"/>
          <w14:textFill>
            <w14:solidFill>
              <w14:schemeClr w14:val="tx1"/>
            </w14:solidFill>
          </w14:textFill>
        </w:rPr>
        <w:t xml:space="preserve">  施工阶段（LOD400-LOD450）：BIM模型应与施工进度（4D）、成本（5D）及资源信息关联，实现施工过程可视化模拟与动态管理。</w:t>
      </w:r>
    </w:p>
    <w:p w14:paraId="142D7EB7">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eastAsia"/>
          <w:b w:val="0"/>
          <w:bCs w:val="0"/>
          <w:color w:val="000000" w:themeColor="text1"/>
          <w:lang w:val="en-US" w:eastAsia="zh-CN"/>
          <w14:textFill>
            <w14:solidFill>
              <w14:schemeClr w14:val="tx1"/>
            </w14:solidFill>
          </w14:textFill>
        </w:rPr>
        <w:t xml:space="preserve">  竣工与运维阶段（LOD500）：竣工模型应完整记录平台实际建造信息，为数字孪生运维提供数据底座。</w:t>
      </w:r>
    </w:p>
    <w:p w14:paraId="07F99651">
      <w:pPr>
        <w:bidi w:val="0"/>
        <w:rPr>
          <w:rFonts w:hint="eastAsia" w:ascii="Times New Roman" w:hAnsi="Times New Roman" w:eastAsia="宋体" w:cs="Times New Roman"/>
          <w:b/>
          <w:bCs/>
          <w:lang w:val="en-US" w:eastAsia="zh-CN"/>
        </w:rPr>
      </w:pPr>
      <w:bookmarkStart w:id="136" w:name="_Toc8778"/>
      <w:r>
        <w:rPr>
          <w:rFonts w:hint="eastAsia" w:ascii="Times New Roman" w:hAnsi="Times New Roman" w:eastAsia="宋体" w:cs="Times New Roman"/>
          <w:b/>
          <w:bCs/>
          <w:lang w:val="en-US" w:eastAsia="zh-CN"/>
        </w:rPr>
        <w:t xml:space="preserve">6.3.3  </w:t>
      </w:r>
      <w:r>
        <w:rPr>
          <w:rFonts w:hint="eastAsia" w:ascii="Times New Roman" w:hAnsi="Times New Roman" w:eastAsia="宋体" w:cs="Times New Roman"/>
          <w:b w:val="0"/>
          <w:bCs w:val="0"/>
          <w:lang w:val="en-US" w:eastAsia="zh-CN"/>
        </w:rPr>
        <w:t>数字孪生四层模型</w:t>
      </w:r>
      <w:bookmarkEnd w:id="136"/>
    </w:p>
    <w:p w14:paraId="34C224B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几何模型层（Geometric Layer）：宜构建与物理平台1:1对应的三维几何模型，支持多尺度表达（整体－楼层－构件－节点），几何误差不宜大于5mm。</w:t>
      </w:r>
    </w:p>
    <w:p w14:paraId="21980E3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物理层（Physical Layer）：宜建立平台结构、机械、液压、电气系统的物理参数模型。在几何模型和实时数据的基础上，集成各类仿真分析模型，实现施工过程的虚拟推演和优化。</w:t>
      </w:r>
    </w:p>
    <w:p w14:paraId="66540DA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行为层（Behavioral Layer）：宜建立平台各子系统的行为规则模型，包括顶升逻辑、模板动作时序、安全联锁机制及能耗特性。</w:t>
      </w:r>
    </w:p>
    <w:p w14:paraId="630B525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eastAsia"/>
          <w:b w:val="0"/>
          <w:bCs w:val="0"/>
          <w:color w:val="000000" w:themeColor="text1"/>
          <w:lang w:val="en-US" w:eastAsia="zh-CN"/>
          <w14:textFill>
            <w14:solidFill>
              <w14:schemeClr w14:val="tx1"/>
            </w14:solidFill>
          </w14:textFill>
        </w:rPr>
        <w:t xml:space="preserve">  规则层（Rule Layer）：宜集成施工规范、企业标准、专家经验及历史数据，构建规则引擎，支持平台运行状态的智能评判、异常诊断与决策建议。</w:t>
      </w:r>
    </w:p>
    <w:p w14:paraId="4565A83B">
      <w:pPr>
        <w:bidi w:val="0"/>
        <w:rPr>
          <w:rFonts w:hint="eastAsia" w:ascii="Times New Roman" w:hAnsi="Times New Roman" w:eastAsia="宋体" w:cs="Times New Roman"/>
          <w:b/>
          <w:bCs/>
          <w:lang w:val="en-US" w:eastAsia="zh-CN"/>
        </w:rPr>
      </w:pPr>
      <w:bookmarkStart w:id="137" w:name="_Toc29773"/>
      <w:r>
        <w:rPr>
          <w:rFonts w:hint="eastAsia" w:ascii="Times New Roman" w:hAnsi="Times New Roman" w:eastAsia="宋体" w:cs="Times New Roman"/>
          <w:b/>
          <w:bCs/>
          <w:lang w:val="en-US" w:eastAsia="zh-CN"/>
        </w:rPr>
        <w:t xml:space="preserve">6.3.4  </w:t>
      </w:r>
      <w:r>
        <w:rPr>
          <w:rFonts w:hint="eastAsia" w:ascii="Times New Roman" w:hAnsi="Times New Roman" w:eastAsia="宋体" w:cs="Times New Roman"/>
          <w:b w:val="0"/>
          <w:bCs w:val="0"/>
          <w:lang w:val="en-US" w:eastAsia="zh-CN"/>
        </w:rPr>
        <w:t>虚拟调试与仿真</w:t>
      </w:r>
      <w:bookmarkEnd w:id="137"/>
    </w:p>
    <w:p w14:paraId="2CED64FF">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虚拟调试（Virtual Commissioning）：在平台实体建造或重大改造前，宜基于数字孪生模型进行控制逻辑虚拟调试，验证PLC程序、传感器配置及联锁逻辑的正确性。</w:t>
      </w:r>
    </w:p>
    <w:p w14:paraId="12656E78">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施工过程仿真：宜进行平台顶升过程动力学仿真、风振响应仿真及施工荷载作用下结构变形预测。</w:t>
      </w:r>
    </w:p>
    <w:p w14:paraId="4F979D5C">
      <w:pPr>
        <w:pStyle w:val="3"/>
        <w:bidi w:val="0"/>
        <w:rPr>
          <w:rFonts w:hint="eastAsia"/>
          <w:b/>
          <w:bCs/>
          <w:color w:val="000000" w:themeColor="text1"/>
          <w:lang w:val="en-US" w:eastAsia="zh-CN"/>
          <w14:textFill>
            <w14:solidFill>
              <w14:schemeClr w14:val="tx1"/>
            </w14:solidFill>
          </w14:textFill>
        </w:rPr>
      </w:pPr>
      <w:bookmarkStart w:id="138" w:name="_Toc2963"/>
      <w:bookmarkStart w:id="139" w:name="_Toc2862"/>
      <w:bookmarkStart w:id="140" w:name="_Toc12590"/>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 xml:space="preserve">  </w:t>
      </w:r>
      <w:bookmarkEnd w:id="138"/>
      <w:r>
        <w:rPr>
          <w:rFonts w:hint="eastAsia"/>
          <w:color w:val="000000" w:themeColor="text1"/>
          <w:lang w:val="en-US" w:eastAsia="zh-CN"/>
          <w14:textFill>
            <w14:solidFill>
              <w14:schemeClr w14:val="tx1"/>
            </w14:solidFill>
          </w14:textFill>
        </w:rPr>
        <w:t>AI视觉与智能监控</w:t>
      </w:r>
      <w:bookmarkEnd w:id="139"/>
      <w:bookmarkEnd w:id="140"/>
    </w:p>
    <w:p w14:paraId="1E8E4993">
      <w:pPr>
        <w:bidi w:val="0"/>
        <w:rPr>
          <w:rFonts w:hint="eastAsia" w:ascii="Times New Roman" w:hAnsi="Times New Roman" w:eastAsia="宋体" w:cs="Times New Roman"/>
          <w:b/>
          <w:bCs/>
          <w:lang w:val="en-US" w:eastAsia="zh-CN"/>
        </w:rPr>
      </w:pPr>
      <w:bookmarkStart w:id="141" w:name="_Toc2496"/>
      <w:r>
        <w:rPr>
          <w:rFonts w:hint="eastAsia" w:ascii="Times New Roman" w:hAnsi="Times New Roman" w:eastAsia="宋体" w:cs="Times New Roman"/>
          <w:b/>
          <w:bCs/>
          <w:lang w:val="en-US" w:eastAsia="zh-CN"/>
        </w:rPr>
        <w:t xml:space="preserve">6.4.1  </w:t>
      </w:r>
      <w:r>
        <w:rPr>
          <w:rFonts w:hint="eastAsia" w:ascii="Times New Roman" w:hAnsi="Times New Roman" w:eastAsia="宋体" w:cs="Times New Roman"/>
          <w:b w:val="0"/>
          <w:bCs w:val="0"/>
          <w:lang w:val="en-US" w:eastAsia="zh-CN"/>
        </w:rPr>
        <w:t>一般规定</w:t>
      </w:r>
      <w:bookmarkEnd w:id="141"/>
    </w:p>
    <w:p w14:paraId="1034EF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平台宜部署AI视觉与智能监控系统，实现对施工安全、工程质量及现场环境的智能感知、识别与预警。</w:t>
      </w:r>
    </w:p>
    <w:p w14:paraId="74323E35">
      <w:pPr>
        <w:bidi w:val="0"/>
        <w:rPr>
          <w:rFonts w:hint="eastAsia" w:ascii="Times New Roman" w:hAnsi="Times New Roman" w:eastAsia="宋体" w:cs="Times New Roman"/>
          <w:b/>
          <w:bCs/>
          <w:lang w:val="en-US" w:eastAsia="zh-CN"/>
        </w:rPr>
      </w:pPr>
      <w:bookmarkStart w:id="142" w:name="_Toc6813"/>
      <w:r>
        <w:rPr>
          <w:rFonts w:hint="eastAsia" w:ascii="Times New Roman" w:hAnsi="Times New Roman" w:eastAsia="宋体" w:cs="Times New Roman"/>
          <w:b/>
          <w:bCs/>
          <w:lang w:val="en-US" w:eastAsia="zh-CN"/>
        </w:rPr>
        <w:t xml:space="preserve">6.4.2  </w:t>
      </w:r>
      <w:r>
        <w:rPr>
          <w:rFonts w:hint="eastAsia" w:ascii="Times New Roman" w:hAnsi="Times New Roman" w:eastAsia="宋体" w:cs="Times New Roman"/>
          <w:b w:val="0"/>
          <w:bCs w:val="0"/>
          <w:lang w:val="en-US" w:eastAsia="zh-CN"/>
        </w:rPr>
        <w:t>AI安全监控</w:t>
      </w:r>
      <w:bookmarkEnd w:id="142"/>
    </w:p>
    <w:p w14:paraId="2E16636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人员行为识别：宜基于深度学习算法，实时识别人员吸烟、打电话、翻越护栏、高空抛物等危险行为，识别响应时间不宜大于2s，并自动推送告警至管理人员移动终端。</w:t>
      </w:r>
    </w:p>
    <w:p w14:paraId="2C38B43A">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PPE智能检测：宜对进入平台作业区域的人员进行安全帽、安全带、反光背心等个人防护装备（PPE）穿戴检测，未正确穿戴者应在入口闸机处自动拦截或触发语音警示。</w:t>
      </w:r>
    </w:p>
    <w:p w14:paraId="7EAD0DE7">
      <w:pPr>
        <w:bidi w:val="0"/>
        <w:rPr>
          <w:rFonts w:hint="eastAsia" w:ascii="Times New Roman" w:hAnsi="Times New Roman" w:eastAsia="宋体" w:cs="Times New Roman"/>
          <w:b/>
          <w:bCs/>
          <w:lang w:val="en-US" w:eastAsia="zh-CN"/>
        </w:rPr>
      </w:pPr>
      <w:bookmarkStart w:id="143" w:name="_Toc32700"/>
      <w:r>
        <w:rPr>
          <w:rFonts w:hint="eastAsia" w:ascii="Times New Roman" w:hAnsi="Times New Roman" w:eastAsia="宋体" w:cs="Times New Roman"/>
          <w:b/>
          <w:bCs/>
          <w:lang w:val="en-US" w:eastAsia="zh-CN"/>
        </w:rPr>
        <w:t xml:space="preserve">6.4.3  </w:t>
      </w:r>
      <w:r>
        <w:rPr>
          <w:rFonts w:hint="eastAsia" w:ascii="Times New Roman" w:hAnsi="Times New Roman" w:eastAsia="宋体" w:cs="Times New Roman"/>
          <w:b w:val="0"/>
          <w:bCs w:val="0"/>
          <w:lang w:val="en-US" w:eastAsia="zh-CN"/>
        </w:rPr>
        <w:t>质量AI识别</w:t>
      </w:r>
      <w:bookmarkEnd w:id="143"/>
    </w:p>
    <w:p w14:paraId="4D480CC0">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混凝土质量检测：宜利用高清视觉与红外热成像技术，自动识别混凝土表面裂缝、蜂窝、麻面、露筋等缺陷，缺陷尺寸检测精度不宜大于1mm。</w:t>
      </w:r>
    </w:p>
    <w:p w14:paraId="52E9A8A3">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钢筋工程检测：宜采用AI视觉对钢筋间距、排距、绑扎质量及保护层厚度进行自动检测，结果自动生成检测报告。</w:t>
      </w:r>
    </w:p>
    <w:p w14:paraId="1045659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焊缝质量检测：对平台钢结构现场焊接部位，宜采用AI视觉辅助无损检测，自动识别焊缝咬边、气孔、未熔合等常见缺陷。</w:t>
      </w:r>
    </w:p>
    <w:p w14:paraId="14DFEBB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eastAsia"/>
          <w:b w:val="0"/>
          <w:bCs w:val="0"/>
          <w:color w:val="000000" w:themeColor="text1"/>
          <w:lang w:val="en-US" w:eastAsia="zh-CN"/>
          <w14:textFill>
            <w14:solidFill>
              <w14:schemeClr w14:val="tx1"/>
            </w14:solidFill>
          </w14:textFill>
        </w:rPr>
        <w:t xml:space="preserve">  模板工程检测：宜利用三维激光扫描与AI点云处理技术，自动检测模板安装偏差、拼缝质量及脱模剂涂刷均匀性。</w:t>
      </w:r>
    </w:p>
    <w:p w14:paraId="4E161197">
      <w:pPr>
        <w:bidi w:val="0"/>
        <w:rPr>
          <w:rFonts w:hint="eastAsia" w:ascii="Times New Roman" w:hAnsi="Times New Roman" w:eastAsia="宋体" w:cs="Times New Roman"/>
          <w:b/>
          <w:bCs/>
          <w:lang w:val="en-US" w:eastAsia="zh-CN"/>
        </w:rPr>
      </w:pPr>
      <w:bookmarkStart w:id="144" w:name="_Toc4843"/>
      <w:r>
        <w:rPr>
          <w:rFonts w:hint="eastAsia" w:ascii="Times New Roman" w:hAnsi="Times New Roman" w:eastAsia="宋体" w:cs="Times New Roman"/>
          <w:b/>
          <w:bCs/>
          <w:lang w:val="en-US" w:eastAsia="zh-CN"/>
        </w:rPr>
        <w:t xml:space="preserve">6.4.4  </w:t>
      </w:r>
      <w:r>
        <w:rPr>
          <w:rFonts w:hint="eastAsia" w:ascii="Times New Roman" w:hAnsi="Times New Roman" w:eastAsia="宋体" w:cs="Times New Roman"/>
          <w:b w:val="0"/>
          <w:bCs w:val="0"/>
          <w:lang w:val="en-US" w:eastAsia="zh-CN"/>
        </w:rPr>
        <w:t>异常事件智能感知与预警</w:t>
      </w:r>
      <w:bookmarkEnd w:id="144"/>
    </w:p>
    <w:p w14:paraId="5D5E4CCA">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结构异常感知：宜融合视觉位移监测、倾角传感器及应变片数据，利用AI算法识别平台结构异常变形、倾斜或振动模式，实现结构安全状态的智能评估与分级预警。</w:t>
      </w:r>
    </w:p>
    <w:p w14:paraId="7120295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设备异常感知：宜通过对电机电流、液压压力、温度及声音信号的多源融合分析，利用异常检测算法识别设备早期故障征兆。</w:t>
      </w:r>
    </w:p>
    <w:p w14:paraId="7530A55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环境异常感知：宜实时监测平台风速、温湿度、PM2.5及有害气体浓度，当环境参数超出安全阈值时，自动触发分级预警并联动通风、喷淋或天幕雨棚等防护设备。</w:t>
      </w:r>
    </w:p>
    <w:p w14:paraId="41AB13EF">
      <w:pPr>
        <w:keepNext w:val="0"/>
        <w:keepLines w:val="0"/>
        <w:pageBreakBefore w:val="0"/>
        <w:widowControl w:val="0"/>
        <w:kinsoku/>
        <w:wordWrap/>
        <w:overflowPunct/>
        <w:topLinePunct w:val="0"/>
        <w:autoSpaceDE/>
        <w:autoSpaceDN/>
        <w:bidi w:val="0"/>
        <w:adjustRightInd/>
        <w:snapToGrid/>
        <w:ind w:firstLine="482" w:firstLineChars="200"/>
        <w:textAlignment w:val="auto"/>
        <w:rPr>
          <w:b w:val="0"/>
          <w:bCs w:val="0"/>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eastAsia"/>
          <w:b w:val="0"/>
          <w:bCs w:val="0"/>
          <w:color w:val="000000" w:themeColor="text1"/>
          <w:lang w:val="en-US" w:eastAsia="zh-CN"/>
          <w14:textFill>
            <w14:solidFill>
              <w14:schemeClr w14:val="tx1"/>
            </w14:solidFill>
          </w14:textFill>
        </w:rPr>
        <w:t xml:space="preserve">  预警联动机制：AI预警系统应与平台主控系统、广播系统、应急照明及疏散指示系统联动，实现“感知－决策－执行”闭环控制。</w:t>
      </w:r>
    </w:p>
    <w:p w14:paraId="2404EBD3">
      <w:pPr>
        <w:pStyle w:val="3"/>
        <w:bidi w:val="0"/>
        <w:rPr>
          <w:rFonts w:hint="eastAsia"/>
          <w:b/>
          <w:bCs/>
          <w:color w:val="000000" w:themeColor="text1"/>
          <w:lang w:val="en-US" w:eastAsia="zh-CN"/>
          <w14:textFill>
            <w14:solidFill>
              <w14:schemeClr w14:val="tx1"/>
            </w14:solidFill>
          </w14:textFill>
        </w:rPr>
      </w:pPr>
      <w:bookmarkStart w:id="145" w:name="_Toc13481"/>
      <w:bookmarkStart w:id="146" w:name="_Toc23918"/>
      <w:bookmarkStart w:id="147" w:name="_Toc7137"/>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预测性维护与远程运维</w:t>
      </w:r>
      <w:bookmarkEnd w:id="145"/>
      <w:bookmarkEnd w:id="146"/>
      <w:bookmarkEnd w:id="147"/>
    </w:p>
    <w:p w14:paraId="64B2DB1C">
      <w:pPr>
        <w:bidi w:val="0"/>
        <w:rPr>
          <w:rFonts w:hint="eastAsia" w:ascii="Times New Roman" w:hAnsi="Times New Roman" w:eastAsia="宋体" w:cs="Times New Roman"/>
          <w:b/>
          <w:bCs/>
          <w:lang w:val="en-US" w:eastAsia="zh-CN"/>
        </w:rPr>
      </w:pPr>
      <w:bookmarkStart w:id="148" w:name="_Toc5308"/>
      <w:r>
        <w:rPr>
          <w:rFonts w:hint="eastAsia" w:ascii="Times New Roman" w:hAnsi="Times New Roman" w:eastAsia="宋体" w:cs="Times New Roman"/>
          <w:b/>
          <w:bCs/>
          <w:lang w:val="en-US" w:eastAsia="zh-CN"/>
        </w:rPr>
        <w:t xml:space="preserve">6.5.1  </w:t>
      </w:r>
      <w:r>
        <w:rPr>
          <w:rFonts w:hint="eastAsia" w:ascii="Times New Roman" w:hAnsi="Times New Roman" w:eastAsia="宋体" w:cs="Times New Roman"/>
          <w:b w:val="0"/>
          <w:bCs w:val="0"/>
          <w:lang w:val="en-US" w:eastAsia="zh-CN"/>
        </w:rPr>
        <w:t>一般规定</w:t>
      </w:r>
      <w:bookmarkEnd w:id="148"/>
    </w:p>
    <w:p w14:paraId="089DB7A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平台宜建立基于物联网与人工智能的预测性维护体系，降低设备非计划停机时间，延长平台使用寿命。</w:t>
      </w:r>
    </w:p>
    <w:p w14:paraId="4485D1D6">
      <w:pPr>
        <w:bidi w:val="0"/>
        <w:rPr>
          <w:rFonts w:hint="eastAsia" w:ascii="Times New Roman" w:hAnsi="Times New Roman" w:eastAsia="宋体" w:cs="Times New Roman"/>
          <w:b/>
          <w:bCs/>
          <w:lang w:val="en-US" w:eastAsia="zh-CN"/>
        </w:rPr>
      </w:pPr>
      <w:bookmarkStart w:id="149" w:name="_Toc24336"/>
      <w:r>
        <w:rPr>
          <w:rFonts w:hint="eastAsia" w:ascii="Times New Roman" w:hAnsi="Times New Roman" w:eastAsia="宋体" w:cs="Times New Roman"/>
          <w:b/>
          <w:bCs/>
          <w:lang w:val="en-US" w:eastAsia="zh-CN"/>
        </w:rPr>
        <w:t xml:space="preserve">6.5.2  </w:t>
      </w:r>
      <w:r>
        <w:rPr>
          <w:rFonts w:hint="eastAsia" w:ascii="Times New Roman" w:hAnsi="Times New Roman" w:eastAsia="宋体" w:cs="Times New Roman"/>
          <w:b w:val="0"/>
          <w:bCs w:val="0"/>
          <w:lang w:val="en-US" w:eastAsia="zh-CN"/>
        </w:rPr>
        <w:t>设备健康评估</w:t>
      </w:r>
      <w:bookmarkEnd w:id="149"/>
    </w:p>
    <w:p w14:paraId="62F447E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状态监测参数：宜对平台关键设备进行多参数在线监测，包括振动加速度、温度、电流、电压、绝缘电阻、油液污染度及噪声频谱。</w:t>
      </w:r>
    </w:p>
    <w:p w14:paraId="6DE8DA5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故障模式库：宜建立平台典型设备故障模式库，涵盖磨损、疲劳、腐蚀、松动、泄漏、过热等常见故障类型，每种故障模式应关联特征参数、判定阈值及处置建议。</w:t>
      </w:r>
    </w:p>
    <w:p w14:paraId="126B3C81">
      <w:pPr>
        <w:bidi w:val="0"/>
        <w:rPr>
          <w:rFonts w:hint="eastAsia" w:ascii="Times New Roman" w:hAnsi="Times New Roman" w:eastAsia="宋体" w:cs="Times New Roman"/>
          <w:b/>
          <w:bCs/>
          <w:lang w:val="en-US" w:eastAsia="zh-CN"/>
        </w:rPr>
      </w:pPr>
      <w:bookmarkStart w:id="150" w:name="_Toc20764"/>
      <w:r>
        <w:rPr>
          <w:rFonts w:hint="eastAsia" w:ascii="Times New Roman" w:hAnsi="Times New Roman" w:eastAsia="宋体" w:cs="Times New Roman"/>
          <w:b/>
          <w:bCs/>
          <w:lang w:val="en-US" w:eastAsia="zh-CN"/>
        </w:rPr>
        <w:t xml:space="preserve">6.5.3  </w:t>
      </w:r>
      <w:r>
        <w:rPr>
          <w:rFonts w:hint="eastAsia" w:ascii="Times New Roman" w:hAnsi="Times New Roman" w:eastAsia="宋体" w:cs="Times New Roman"/>
          <w:b w:val="0"/>
          <w:bCs w:val="0"/>
          <w:lang w:val="en-US" w:eastAsia="zh-CN"/>
        </w:rPr>
        <w:t>RUL预估（剩余使用寿命预测）</w:t>
      </w:r>
      <w:bookmarkEnd w:id="150"/>
    </w:p>
    <w:p w14:paraId="2844341F">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RUL建模方法：宜基于设备退化机理模型（物理模型）或数据驱动模型（LSTM、Transformer、随机过程等）建立RUL预测模型，预测关键部件的剩余使用寿命。</w:t>
      </w:r>
    </w:p>
    <w:p w14:paraId="619AC341">
      <w:pPr>
        <w:bidi w:val="0"/>
        <w:rPr>
          <w:rFonts w:hint="eastAsia" w:ascii="Times New Roman" w:hAnsi="Times New Roman" w:eastAsia="宋体" w:cs="Times New Roman"/>
          <w:b/>
          <w:bCs/>
          <w:lang w:val="en-US" w:eastAsia="zh-CN"/>
        </w:rPr>
      </w:pPr>
      <w:bookmarkStart w:id="151" w:name="_Toc5576"/>
      <w:r>
        <w:rPr>
          <w:rFonts w:hint="eastAsia" w:ascii="Times New Roman" w:hAnsi="Times New Roman" w:eastAsia="宋体" w:cs="Times New Roman"/>
          <w:b/>
          <w:bCs/>
          <w:lang w:val="en-US" w:eastAsia="zh-CN"/>
        </w:rPr>
        <w:t xml:space="preserve">6.5.4  </w:t>
      </w:r>
      <w:r>
        <w:rPr>
          <w:rFonts w:hint="eastAsia" w:ascii="Times New Roman" w:hAnsi="Times New Roman" w:eastAsia="宋体" w:cs="Times New Roman"/>
          <w:b w:val="0"/>
          <w:bCs w:val="0"/>
          <w:lang w:val="en-US" w:eastAsia="zh-CN"/>
        </w:rPr>
        <w:t>5G远程操控</w:t>
      </w:r>
      <w:bookmarkEnd w:id="151"/>
    </w:p>
    <w:p w14:paraId="4AC38E0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网络要求：平台宜部署5G专网或采用5G网络切片技术，确保远程操控场景下的端到端通信延迟稳定不大于20ms，抖动不大于5ms，可靠性不低于99.99%，支持网络切换无感知。</w:t>
      </w:r>
    </w:p>
    <w:p w14:paraId="67D93A07">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远程操控场景：宜支持平台关键设备的远程启停、参数调整、紧急操作及机器人远程示教；在恶劣环境或危险作业场景下，优先采用远程操控替代人工作业。</w:t>
      </w:r>
    </w:p>
    <w:p w14:paraId="6C986CAC">
      <w:pPr>
        <w:bidi w:val="0"/>
        <w:rPr>
          <w:rFonts w:hint="eastAsia" w:ascii="Times New Roman" w:hAnsi="Times New Roman" w:eastAsia="宋体" w:cs="Times New Roman"/>
          <w:b/>
          <w:bCs/>
          <w:lang w:val="en-US" w:eastAsia="zh-CN"/>
        </w:rPr>
      </w:pPr>
      <w:bookmarkStart w:id="152" w:name="_Toc3461"/>
      <w:r>
        <w:rPr>
          <w:rFonts w:hint="eastAsia" w:ascii="Times New Roman" w:hAnsi="Times New Roman" w:eastAsia="宋体" w:cs="Times New Roman"/>
          <w:b/>
          <w:bCs/>
          <w:lang w:val="en-US" w:eastAsia="zh-CN"/>
        </w:rPr>
        <w:t xml:space="preserve">6.5.5  </w:t>
      </w:r>
      <w:r>
        <w:rPr>
          <w:rFonts w:hint="eastAsia" w:ascii="Times New Roman" w:hAnsi="Times New Roman" w:eastAsia="宋体" w:cs="Times New Roman"/>
          <w:b w:val="0"/>
          <w:bCs w:val="0"/>
          <w:lang w:val="en-US" w:eastAsia="zh-CN"/>
        </w:rPr>
        <w:t>AR辅助维修</w:t>
      </w:r>
      <w:bookmarkEnd w:id="152"/>
    </w:p>
    <w:p w14:paraId="3173CED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AR眼镜应用：运维人员宜配备工业级AR智能眼镜，通过5G网络实时接收设备运行数据、维护手册及专家指导画面。</w:t>
      </w:r>
    </w:p>
    <w:p w14:paraId="35490D5E">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虚实融合指引：AR系统宜将虚拟标注（如螺栓位置、管线走向、操作步骤）精准叠加于物理设备之上，叠加定位精度不宜大于10mm，支持语音交互与手势控制。</w:t>
      </w:r>
    </w:p>
    <w:p w14:paraId="7789A93D">
      <w:pPr>
        <w:pStyle w:val="3"/>
        <w:bidi w:val="0"/>
        <w:rPr>
          <w:rFonts w:hint="eastAsia"/>
          <w:b/>
          <w:bCs/>
          <w:color w:val="000000" w:themeColor="text1"/>
          <w:lang w:val="en-US" w:eastAsia="zh-CN"/>
          <w14:textFill>
            <w14:solidFill>
              <w14:schemeClr w14:val="tx1"/>
            </w14:solidFill>
          </w14:textFill>
        </w:rPr>
      </w:pPr>
      <w:bookmarkStart w:id="153" w:name="_Toc1710"/>
      <w:bookmarkStart w:id="154" w:name="_Toc15018"/>
      <w:bookmarkStart w:id="155" w:name="_Toc21117"/>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平台全生命周期数据管理</w:t>
      </w:r>
      <w:bookmarkEnd w:id="153"/>
      <w:bookmarkEnd w:id="154"/>
      <w:bookmarkEnd w:id="155"/>
    </w:p>
    <w:p w14:paraId="2FE8904A">
      <w:pPr>
        <w:bidi w:val="0"/>
        <w:rPr>
          <w:rFonts w:hint="eastAsia" w:ascii="Times New Roman" w:hAnsi="Times New Roman" w:eastAsia="宋体" w:cs="Times New Roman"/>
          <w:b/>
          <w:bCs/>
          <w:lang w:val="en-US" w:eastAsia="zh-CN"/>
        </w:rPr>
      </w:pPr>
      <w:bookmarkStart w:id="156" w:name="_Toc18108"/>
      <w:r>
        <w:rPr>
          <w:rFonts w:hint="eastAsia" w:ascii="Times New Roman" w:hAnsi="Times New Roman" w:eastAsia="宋体" w:cs="Times New Roman"/>
          <w:b/>
          <w:bCs/>
          <w:lang w:val="en-US" w:eastAsia="zh-CN"/>
        </w:rPr>
        <w:t xml:space="preserve">6.6.1  </w:t>
      </w:r>
      <w:r>
        <w:rPr>
          <w:rFonts w:hint="eastAsia" w:ascii="Times New Roman" w:hAnsi="Times New Roman" w:eastAsia="宋体" w:cs="Times New Roman"/>
          <w:b w:val="0"/>
          <w:bCs w:val="0"/>
          <w:lang w:val="en-US" w:eastAsia="zh-CN"/>
        </w:rPr>
        <w:t>一般规定</w:t>
      </w:r>
      <w:bookmarkEnd w:id="156"/>
    </w:p>
    <w:p w14:paraId="78631A9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平台宜建立覆盖设计、制造、安装、使用、维护、拆除全生命周期的数据管理体系，实现数据的标准化采集、结构化存储、智能化分析及资产化复用。</w:t>
      </w:r>
    </w:p>
    <w:p w14:paraId="0497ABCD">
      <w:pPr>
        <w:bidi w:val="0"/>
        <w:rPr>
          <w:rFonts w:hint="eastAsia" w:ascii="Times New Roman" w:hAnsi="Times New Roman" w:eastAsia="宋体" w:cs="Times New Roman"/>
          <w:b/>
          <w:bCs/>
          <w:lang w:val="en-US" w:eastAsia="zh-CN"/>
        </w:rPr>
      </w:pPr>
      <w:bookmarkStart w:id="157" w:name="_Toc2428"/>
      <w:r>
        <w:rPr>
          <w:rFonts w:hint="eastAsia" w:ascii="Times New Roman" w:hAnsi="Times New Roman" w:eastAsia="宋体" w:cs="Times New Roman"/>
          <w:b/>
          <w:bCs/>
          <w:lang w:val="en-US" w:eastAsia="zh-CN"/>
        </w:rPr>
        <w:t xml:space="preserve">6.6.2  </w:t>
      </w:r>
      <w:r>
        <w:rPr>
          <w:rFonts w:hint="eastAsia" w:ascii="Times New Roman" w:hAnsi="Times New Roman" w:eastAsia="宋体" w:cs="Times New Roman"/>
          <w:b w:val="0"/>
          <w:bCs w:val="0"/>
          <w:lang w:val="en-US" w:eastAsia="zh-CN"/>
        </w:rPr>
        <w:t>数据采集与存储</w:t>
      </w:r>
      <w:bookmarkEnd w:id="157"/>
    </w:p>
    <w:p w14:paraId="519BD793">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数据采集范围：</w:t>
      </w:r>
    </w:p>
    <w:p w14:paraId="34BAFA7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设计数据：BIM模型、计算书、图纸、设计变更记录；</w:t>
      </w:r>
    </w:p>
    <w:p w14:paraId="2F79BA3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安装数据：安装日志、测量数据、调试记录、验收报告；</w:t>
      </w:r>
    </w:p>
    <w:p w14:paraId="74DDD85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运行数据：传感器实时数据、设备状态、能耗数据、环境数据；</w:t>
      </w:r>
    </w:p>
    <w:p w14:paraId="3F0BAEB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维护数据：巡检记录、维修工单、更换部件、RUL预测结果。</w:t>
      </w:r>
    </w:p>
    <w:p w14:paraId="71CF38DF">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存储技术要求：</w:t>
      </w:r>
    </w:p>
    <w:p w14:paraId="3994A0D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时序数据（传感器数据）宜采用InfluxDB、TimescaleDB等时序数据库存储；</w:t>
      </w:r>
    </w:p>
    <w:p w14:paraId="7B2139E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非结构化数据（视频、文档、图片）宜采用对象存储（OSS/S3）；</w:t>
      </w:r>
    </w:p>
    <w:p w14:paraId="7EC35E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结构化业务数据宜采用关系型数据库（PostgreSQL/MySQL）或分布式数据库；</w:t>
      </w:r>
    </w:p>
    <w:p w14:paraId="7EDAE04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数据存储宜支持冷热分层，历史数据自动归档至低成本存储介质。</w:t>
      </w:r>
    </w:p>
    <w:p w14:paraId="24EF88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3.数据标准与编码：宜建立统一的数据字典、编码规则及时空基准，所有数据应带时间戳与空间坐标标签，支持跨项目、跨平台的数据关联与对比分析。</w:t>
      </w:r>
    </w:p>
    <w:p w14:paraId="11BA3F18">
      <w:pPr>
        <w:bidi w:val="0"/>
        <w:rPr>
          <w:rFonts w:hint="eastAsia" w:ascii="Times New Roman" w:hAnsi="Times New Roman" w:eastAsia="宋体" w:cs="Times New Roman"/>
          <w:b/>
          <w:bCs/>
          <w:lang w:val="en-US" w:eastAsia="zh-CN"/>
        </w:rPr>
      </w:pPr>
      <w:bookmarkStart w:id="158" w:name="_Toc26606"/>
      <w:r>
        <w:rPr>
          <w:rFonts w:hint="eastAsia" w:ascii="Times New Roman" w:hAnsi="Times New Roman" w:eastAsia="宋体" w:cs="Times New Roman"/>
          <w:b/>
          <w:bCs/>
          <w:lang w:val="en-US" w:eastAsia="zh-CN"/>
        </w:rPr>
        <w:t xml:space="preserve">6.6.3  </w:t>
      </w:r>
      <w:r>
        <w:rPr>
          <w:rFonts w:hint="eastAsia" w:ascii="Times New Roman" w:hAnsi="Times New Roman" w:eastAsia="宋体" w:cs="Times New Roman"/>
          <w:b w:val="0"/>
          <w:bCs w:val="0"/>
          <w:lang w:val="en-US" w:eastAsia="zh-CN"/>
        </w:rPr>
        <w:t>数据分析与可视化</w:t>
      </w:r>
      <w:bookmarkEnd w:id="158"/>
    </w:p>
    <w:p w14:paraId="671577E8">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数据分析能力。</w:t>
      </w:r>
    </w:p>
    <w:p w14:paraId="0D1A136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描述性分析：自动生成日报、周报、月报，统计平台运行时长、顶升次数、能耗指标及故障频次；</w:t>
      </w:r>
    </w:p>
    <w:p w14:paraId="08E5343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诊断性分析：利用根因分析（RCA）算法，定位故障与异常的深层原因；</w:t>
      </w:r>
    </w:p>
    <w:p w14:paraId="5169AA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预测性分析：基于机器学习进行设备故障预测、施工进度预测及安全风险预测；</w:t>
      </w:r>
    </w:p>
    <w:p w14:paraId="31F9298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规范性分析：基于优化算法推荐最优施工方案、维护计划及资源配置。</w:t>
      </w:r>
    </w:p>
    <w:p w14:paraId="5E7377C8">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三维可视化。宜将平台运行数据与BIM/数字孪生模型深度融合，实现“数据驱动模型、模型呈现数据”的沉浸式可视化。</w:t>
      </w:r>
    </w:p>
    <w:p w14:paraId="75D6CDE8">
      <w:pPr>
        <w:bidi w:val="0"/>
        <w:rPr>
          <w:rFonts w:hint="eastAsia" w:ascii="Times New Roman" w:hAnsi="Times New Roman" w:eastAsia="宋体" w:cs="Times New Roman"/>
          <w:b/>
          <w:bCs/>
          <w:lang w:val="en-US" w:eastAsia="zh-CN"/>
        </w:rPr>
      </w:pPr>
      <w:bookmarkStart w:id="159" w:name="_Toc2293"/>
      <w:r>
        <w:rPr>
          <w:rFonts w:hint="eastAsia" w:ascii="Times New Roman" w:hAnsi="Times New Roman" w:eastAsia="宋体" w:cs="Times New Roman"/>
          <w:b/>
          <w:bCs/>
          <w:lang w:val="en-US" w:eastAsia="zh-CN"/>
        </w:rPr>
        <w:t xml:space="preserve">6.6.4  </w:t>
      </w:r>
      <w:r>
        <w:rPr>
          <w:rFonts w:hint="eastAsia" w:ascii="Times New Roman" w:hAnsi="Times New Roman" w:eastAsia="宋体" w:cs="Times New Roman"/>
          <w:b w:val="0"/>
          <w:bCs w:val="0"/>
          <w:lang w:val="en-US" w:eastAsia="zh-CN"/>
        </w:rPr>
        <w:t>知识沉淀与复用</w:t>
      </w:r>
      <w:bookmarkEnd w:id="159"/>
    </w:p>
    <w:p w14:paraId="1AE0C293">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数字资产化。宜将平台全生命周期数据转化为可复用的数字资产，包括标准化BIM构件库、参数化设计模板、施工工艺库、故障案例库及优化算法模型。</w:t>
      </w:r>
    </w:p>
    <w:p w14:paraId="762E029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模板与知识库。建立平台设计模板库，新项目可直接调用经实践验证的标准模块，缩短设计周期；建立施工工艺知识库，沉淀广州地区超高层施工的最佳实践与工法创新；建立设备故障知识库，支持跨项目故障快速诊断与经验复用。</w:t>
      </w:r>
    </w:p>
    <w:p w14:paraId="0302CE23">
      <w:pPr>
        <w:keepNext w:val="0"/>
        <w:keepLines w:val="0"/>
        <w:pageBreakBefore w:val="0"/>
        <w:widowControl w:val="0"/>
        <w:kinsoku/>
        <w:wordWrap/>
        <w:overflowPunct/>
        <w:topLinePunct w:val="0"/>
        <w:autoSpaceDE/>
        <w:autoSpaceDN/>
        <w:bidi w:val="0"/>
        <w:adjustRightInd/>
        <w:snapToGrid/>
        <w:ind w:firstLine="482" w:firstLineChars="200"/>
        <w:textAlignment w:val="auto"/>
        <w:rPr>
          <w:b w:val="0"/>
          <w:bCs w:val="0"/>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知识传承与共享。宜建立企业级知识管理平台，支持经验的结构化记录、便捷化检索与跨项目共享，降低对个别专家经验的依赖，提升组织整体技术能力。</w:t>
      </w:r>
    </w:p>
    <w:p w14:paraId="590BAA1B">
      <w:pPr>
        <w:ind w:firstLine="480" w:firstLineChars="200"/>
        <w:rPr>
          <w:color w:val="000000" w:themeColor="text1"/>
          <w14:textFill>
            <w14:solidFill>
              <w14:schemeClr w14:val="tx1"/>
            </w14:solidFill>
          </w14:textFill>
        </w:rPr>
      </w:pPr>
    </w:p>
    <w:p w14:paraId="7AF70F20">
      <w:pPr>
        <w:rPr>
          <w:rFonts w:hint="eastAsia"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br w:type="page"/>
      </w:r>
    </w:p>
    <w:p w14:paraId="4123DF32">
      <w:pPr>
        <w:pStyle w:val="2"/>
        <w:bidi w:val="0"/>
        <w:rPr>
          <w:rFonts w:hint="default"/>
          <w:color w:val="000000" w:themeColor="text1"/>
          <w14:textFill>
            <w14:solidFill>
              <w14:schemeClr w14:val="tx1"/>
            </w14:solidFill>
          </w14:textFill>
        </w:rPr>
      </w:pPr>
      <w:bookmarkStart w:id="160" w:name="_Toc29576"/>
      <w:bookmarkStart w:id="161" w:name="_Toc3057"/>
      <w:bookmarkStart w:id="162" w:name="_Toc19333"/>
      <w:r>
        <w:rPr>
          <w:rFonts w:hint="eastAsia"/>
          <w:color w:val="000000" w:themeColor="text1"/>
          <w:lang w:val="en-US" w:eastAsia="zh-CN"/>
          <w14:textFill>
            <w14:solidFill>
              <w14:schemeClr w14:val="tx1"/>
            </w14:solidFill>
          </w14:textFill>
        </w:rPr>
        <w:t>第7章</w:t>
      </w:r>
      <w:r>
        <w:rPr>
          <w:rFonts w:hint="default"/>
          <w:color w:val="000000" w:themeColor="text1"/>
          <w14:textFill>
            <w14:solidFill>
              <w14:schemeClr w14:val="tx1"/>
            </w14:solidFill>
          </w14:textFill>
        </w:rPr>
        <w:t xml:space="preserve">  </w:t>
      </w:r>
      <w:bookmarkEnd w:id="160"/>
      <w:bookmarkEnd w:id="161"/>
      <w:r>
        <w:rPr>
          <w:rFonts w:hint="eastAsia"/>
          <w:color w:val="000000" w:themeColor="text1"/>
          <w:lang w:val="en-US" w:eastAsia="zh-CN"/>
          <w14:textFill>
            <w14:solidFill>
              <w14:schemeClr w14:val="tx1"/>
            </w14:solidFill>
          </w14:textFill>
        </w:rPr>
        <w:t>平台制造与预拼装</w:t>
      </w:r>
      <w:bookmarkEnd w:id="162"/>
    </w:p>
    <w:p w14:paraId="5B158E16">
      <w:pPr>
        <w:pStyle w:val="3"/>
        <w:bidi w:val="0"/>
        <w:rPr>
          <w:rFonts w:hint="eastAsia" w:cs="Times New Roman"/>
          <w:b/>
          <w:bCs/>
          <w:color w:val="auto"/>
          <w:kern w:val="0"/>
          <w:sz w:val="24"/>
          <w:szCs w:val="24"/>
          <w:highlight w:val="none"/>
          <w:lang w:val="en-US" w:eastAsia="zh-CN" w:bidi="ar"/>
        </w:rPr>
      </w:pPr>
      <w:bookmarkStart w:id="163" w:name="_Toc6520"/>
      <w:r>
        <w:rPr>
          <w:rFonts w:hint="eastAsia"/>
          <w:color w:val="000000" w:themeColor="text1"/>
          <w:lang w:val="en-US" w:eastAsia="zh-CN"/>
          <w14:textFill>
            <w14:solidFill>
              <w14:schemeClr w14:val="tx1"/>
            </w14:solidFill>
          </w14:textFill>
        </w:rPr>
        <w:t>7</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平台制造</w:t>
      </w:r>
      <w:bookmarkEnd w:id="163"/>
    </w:p>
    <w:p w14:paraId="43743364">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val="0"/>
          <w:bCs w:val="0"/>
          <w:color w:val="auto"/>
          <w:kern w:val="0"/>
          <w:sz w:val="24"/>
          <w:szCs w:val="24"/>
          <w:highlight w:val="none"/>
          <w:lang w:val="en-US" w:eastAsia="zh-CN" w:bidi="ar"/>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default" w:ascii="Times New Roman" w:hAnsi="Times New Roman" w:eastAsia="宋体" w:cs="Times New Roman"/>
          <w:b/>
          <w:bCs/>
          <w:color w:val="auto"/>
          <w:kern w:val="0"/>
          <w:sz w:val="24"/>
          <w:szCs w:val="24"/>
          <w:highlight w:val="none"/>
          <w:lang w:val="en-US" w:eastAsia="zh-CN" w:bidi="ar"/>
        </w:rPr>
        <w:t xml:space="preserve">.1  </w:t>
      </w:r>
      <w:r>
        <w:rPr>
          <w:rFonts w:hint="default" w:ascii="Times New Roman" w:hAnsi="Times New Roman" w:eastAsia="宋体" w:cs="Times New Roman"/>
          <w:b w:val="0"/>
          <w:bCs w:val="0"/>
          <w:color w:val="auto"/>
          <w:kern w:val="0"/>
          <w:sz w:val="24"/>
          <w:szCs w:val="24"/>
          <w:highlight w:val="none"/>
          <w:lang w:val="en-US" w:eastAsia="zh-CN" w:bidi="ar"/>
        </w:rPr>
        <w:t>钢结构加工</w:t>
      </w:r>
    </w:p>
    <w:p w14:paraId="0C1BD031">
      <w:pPr>
        <w:ind w:firstLine="482" w:firstLineChars="200"/>
        <w:rPr>
          <w:rFonts w:hint="eastAsia"/>
          <w:b w:val="0"/>
          <w:bCs w:val="0"/>
          <w:color w:val="auto"/>
          <w:highlight w:val="none"/>
        </w:rPr>
      </w:pPr>
      <w:r>
        <w:rPr>
          <w:rFonts w:hint="eastAsia"/>
          <w:b/>
          <w:bCs/>
          <w:color w:val="auto"/>
          <w:highlight w:val="none"/>
          <w:lang w:val="en-US" w:eastAsia="zh-CN"/>
        </w:rPr>
        <w:t>1</w:t>
      </w:r>
      <w:r>
        <w:rPr>
          <w:rFonts w:hint="eastAsia"/>
          <w:b w:val="0"/>
          <w:bCs w:val="0"/>
          <w:color w:val="auto"/>
          <w:highlight w:val="none"/>
          <w:lang w:val="en-US" w:eastAsia="zh-CN"/>
        </w:rPr>
        <w:t xml:space="preserve"> </w:t>
      </w:r>
      <w:r>
        <w:rPr>
          <w:rFonts w:hint="eastAsia"/>
          <w:b w:val="0"/>
          <w:bCs w:val="0"/>
          <w:color w:val="auto"/>
          <w:highlight w:val="none"/>
        </w:rPr>
        <w:t xml:space="preserve"> 一般要求</w:t>
      </w:r>
    </w:p>
    <w:p w14:paraId="673FAB84">
      <w:pPr>
        <w:ind w:firstLine="480" w:firstLineChars="200"/>
        <w:rPr>
          <w:rFonts w:hint="eastAsia"/>
          <w:b w:val="0"/>
          <w:bCs w:val="0"/>
          <w:color w:val="auto"/>
          <w:highlight w:val="none"/>
        </w:rPr>
      </w:pPr>
      <w:r>
        <w:rPr>
          <w:rFonts w:hint="eastAsia"/>
          <w:b w:val="0"/>
          <w:bCs w:val="0"/>
          <w:color w:val="auto"/>
          <w:highlight w:val="none"/>
        </w:rPr>
        <w:t>钢结构加工应按施工详图、工艺文件的要求实施，并应符合现行国家标准《钢结构工程施工质量验收标准》GB50205、《钢结构工程施工规范》GB 50755和《钢结构焊接规范》GB 50661 的相关规定。</w:t>
      </w:r>
    </w:p>
    <w:p w14:paraId="0C2C1361">
      <w:pPr>
        <w:ind w:firstLine="480" w:firstLineChars="200"/>
        <w:rPr>
          <w:rFonts w:hint="eastAsia"/>
          <w:b w:val="0"/>
          <w:bCs w:val="0"/>
          <w:color w:val="auto"/>
          <w:highlight w:val="none"/>
        </w:rPr>
      </w:pPr>
      <w:r>
        <w:rPr>
          <w:rFonts w:hint="eastAsia"/>
          <w:b w:val="0"/>
          <w:bCs w:val="0"/>
          <w:color w:val="auto"/>
          <w:highlight w:val="none"/>
        </w:rPr>
        <w:t>构件加工前，应编制加工工艺文件，明确下料、制孔、组装、焊接、矫正等各道工序的工艺参数及质量要求。</w:t>
      </w:r>
    </w:p>
    <w:p w14:paraId="133B9E71">
      <w:pPr>
        <w:ind w:firstLine="482" w:firstLineChars="200"/>
        <w:rPr>
          <w:rFonts w:hint="eastAsia"/>
          <w:b w:val="0"/>
          <w:bCs w:val="0"/>
          <w:color w:val="auto"/>
          <w:highlight w:val="none"/>
        </w:rPr>
      </w:pPr>
      <w:r>
        <w:rPr>
          <w:rFonts w:hint="eastAsia"/>
          <w:b/>
          <w:bCs/>
          <w:color w:val="auto"/>
          <w:highlight w:val="none"/>
        </w:rPr>
        <w:t>2</w:t>
      </w:r>
      <w:r>
        <w:rPr>
          <w:rFonts w:hint="eastAsia"/>
          <w:b w:val="0"/>
          <w:bCs w:val="0"/>
          <w:color w:val="auto"/>
          <w:highlight w:val="none"/>
        </w:rPr>
        <w:t xml:space="preserve"> </w:t>
      </w:r>
      <w:r>
        <w:rPr>
          <w:rFonts w:hint="eastAsia"/>
          <w:b w:val="0"/>
          <w:bCs w:val="0"/>
          <w:color w:val="auto"/>
          <w:highlight w:val="none"/>
          <w:lang w:val="en-US" w:eastAsia="zh-CN"/>
        </w:rPr>
        <w:t xml:space="preserve"> </w:t>
      </w:r>
      <w:r>
        <w:rPr>
          <w:rFonts w:hint="eastAsia"/>
          <w:b w:val="0"/>
          <w:bCs w:val="0"/>
          <w:color w:val="auto"/>
          <w:highlight w:val="none"/>
        </w:rPr>
        <w:t>下料</w:t>
      </w:r>
    </w:p>
    <w:p w14:paraId="0063C0F2">
      <w:pPr>
        <w:ind w:firstLine="480" w:firstLineChars="200"/>
        <w:rPr>
          <w:rFonts w:hint="eastAsia"/>
          <w:b w:val="0"/>
          <w:bCs w:val="0"/>
          <w:color w:val="auto"/>
          <w:highlight w:val="none"/>
        </w:rPr>
      </w:pPr>
      <w:r>
        <w:rPr>
          <w:rFonts w:hint="eastAsia"/>
          <w:b w:val="0"/>
          <w:bCs w:val="0"/>
          <w:color w:val="auto"/>
          <w:highlight w:val="none"/>
        </w:rPr>
        <w:t>钢材切割可采用气割、机械切割、等离子切割等方法。切割面的平面度、粗糙度应符合设计及工艺要求。切割面的飞边、毛刺应清理干净，切割面应无裂纹、夹渣、分层等缺陷和大于 1mm 的缺棱</w:t>
      </w:r>
      <w:r>
        <w:rPr>
          <w:rFonts w:hint="eastAsia"/>
          <w:b w:val="0"/>
          <w:bCs w:val="0"/>
          <w:color w:val="auto"/>
          <w:highlight w:val="none"/>
          <w:lang w:eastAsia="zh-CN"/>
        </w:rPr>
        <w:t>，</w:t>
      </w:r>
      <w:r>
        <w:rPr>
          <w:rFonts w:hint="eastAsia"/>
          <w:b w:val="0"/>
          <w:bCs w:val="0"/>
          <w:color w:val="auto"/>
          <w:highlight w:val="none"/>
        </w:rPr>
        <w:t>重要构件边缘宜采用机械加工。</w:t>
      </w:r>
    </w:p>
    <w:p w14:paraId="0FBA6AB7">
      <w:pPr>
        <w:keepNext w:val="0"/>
        <w:keepLines w:val="0"/>
        <w:widowControl/>
        <w:suppressLineNumbers w:val="0"/>
        <w:ind w:firstLine="480" w:firstLineChars="200"/>
        <w:jc w:val="left"/>
        <w:rPr>
          <w:rFonts w:hint="eastAsia" w:eastAsia="宋体"/>
          <w:lang w:eastAsia="zh-CN"/>
        </w:rPr>
      </w:pPr>
      <w:r>
        <w:rPr>
          <w:rFonts w:hint="eastAsia" w:ascii="宋体" w:hAnsi="宋体" w:eastAsia="宋体" w:cs="宋体"/>
          <w:color w:val="000000"/>
          <w:kern w:val="0"/>
          <w:sz w:val="24"/>
          <w:szCs w:val="24"/>
          <w:lang w:val="en-US" w:eastAsia="zh-CN" w:bidi="ar"/>
        </w:rPr>
        <w:t>承力件面板上的凹槽应由整块厚钢板机械加工而成；滑梁不宜采用多段拼接的形式</w:t>
      </w:r>
      <w:r>
        <w:rPr>
          <w:rFonts w:hint="eastAsia"/>
          <w:lang w:eastAsia="zh-CN"/>
        </w:rPr>
        <w:t>。</w:t>
      </w:r>
    </w:p>
    <w:p w14:paraId="76511718">
      <w:pPr>
        <w:ind w:firstLine="482" w:firstLineChars="200"/>
        <w:rPr>
          <w:rFonts w:hint="eastAsia"/>
          <w:b w:val="0"/>
          <w:bCs w:val="0"/>
          <w:color w:val="auto"/>
          <w:highlight w:val="none"/>
        </w:rPr>
      </w:pPr>
      <w:r>
        <w:rPr>
          <w:rFonts w:hint="eastAsia"/>
          <w:b/>
          <w:bCs/>
          <w:color w:val="auto"/>
          <w:highlight w:val="none"/>
        </w:rPr>
        <w:t>3</w:t>
      </w:r>
      <w:r>
        <w:rPr>
          <w:rFonts w:hint="eastAsia"/>
          <w:b w:val="0"/>
          <w:bCs w:val="0"/>
          <w:color w:val="auto"/>
          <w:highlight w:val="none"/>
        </w:rPr>
        <w:t xml:space="preserve"> </w:t>
      </w:r>
      <w:r>
        <w:rPr>
          <w:rFonts w:hint="eastAsia"/>
          <w:b w:val="0"/>
          <w:bCs w:val="0"/>
          <w:color w:val="auto"/>
          <w:highlight w:val="none"/>
          <w:lang w:val="en-US" w:eastAsia="zh-CN"/>
        </w:rPr>
        <w:t xml:space="preserve"> </w:t>
      </w:r>
      <w:r>
        <w:rPr>
          <w:rFonts w:hint="eastAsia"/>
          <w:b w:val="0"/>
          <w:bCs w:val="0"/>
          <w:color w:val="auto"/>
          <w:highlight w:val="none"/>
        </w:rPr>
        <w:t>制孔</w:t>
      </w:r>
    </w:p>
    <w:p w14:paraId="15ABC970">
      <w:pPr>
        <w:ind w:firstLine="480" w:firstLineChars="200"/>
        <w:rPr>
          <w:rFonts w:hint="eastAsia"/>
          <w:b w:val="0"/>
          <w:bCs w:val="0"/>
          <w:color w:val="auto"/>
          <w:highlight w:val="none"/>
        </w:rPr>
      </w:pPr>
      <w:r>
        <w:rPr>
          <w:rFonts w:hint="eastAsia"/>
          <w:b w:val="0"/>
          <w:bCs w:val="0"/>
          <w:color w:val="auto"/>
          <w:highlight w:val="none"/>
        </w:rPr>
        <w:t>螺栓孔应采用钻孔或冲孔后扩钻的方法，确保孔位精度，严禁采用</w:t>
      </w:r>
      <w:r>
        <w:rPr>
          <w:rFonts w:hint="eastAsia"/>
          <w:b w:val="0"/>
          <w:bCs w:val="0"/>
          <w:color w:val="auto"/>
          <w:highlight w:val="none"/>
          <w:lang w:eastAsia="zh-CN"/>
        </w:rPr>
        <w:t>切割</w:t>
      </w:r>
      <w:r>
        <w:rPr>
          <w:rFonts w:hint="eastAsia"/>
          <w:b w:val="0"/>
          <w:bCs w:val="0"/>
          <w:color w:val="auto"/>
          <w:highlight w:val="none"/>
        </w:rPr>
        <w:t>扩孔。高强度螺栓孔的允许偏差应符合现行国家标准《钢结构设计标准》GB 50017 的相关规定。</w:t>
      </w:r>
    </w:p>
    <w:p w14:paraId="59DB878F">
      <w:pPr>
        <w:ind w:firstLine="480" w:firstLineChars="200"/>
        <w:rPr>
          <w:rFonts w:hint="eastAsia"/>
          <w:b w:val="0"/>
          <w:bCs w:val="0"/>
          <w:color w:val="auto"/>
          <w:highlight w:val="none"/>
        </w:rPr>
      </w:pPr>
      <w:r>
        <w:rPr>
          <w:rFonts w:hint="eastAsia"/>
          <w:b w:val="0"/>
          <w:bCs w:val="0"/>
          <w:color w:val="auto"/>
          <w:highlight w:val="none"/>
        </w:rPr>
        <w:t>制孔后应进行全数检查</w:t>
      </w:r>
      <w:r>
        <w:rPr>
          <w:rFonts w:hint="eastAsia"/>
          <w:b w:val="0"/>
          <w:bCs w:val="0"/>
          <w:color w:val="auto"/>
          <w:highlight w:val="none"/>
          <w:lang w:eastAsia="zh-CN"/>
        </w:rPr>
        <w:t>，</w:t>
      </w:r>
      <w:r>
        <w:rPr>
          <w:rFonts w:hint="eastAsia"/>
          <w:b w:val="0"/>
          <w:bCs w:val="0"/>
          <w:color w:val="auto"/>
          <w:highlight w:val="none"/>
        </w:rPr>
        <w:t>螺栓孔距的允许偏差应符合现行国家标准《钢结构工程施工质量验收标准》GB 50205的相关规定。当超过允许偏差时，应采用与母材相匹配的焊条补焊后重新制孔，补焊后重新钻孔的数量不得超过该组螺栓数量的 20%。</w:t>
      </w:r>
    </w:p>
    <w:p w14:paraId="286DCD4F">
      <w:pPr>
        <w:ind w:firstLine="482" w:firstLineChars="200"/>
        <w:rPr>
          <w:rFonts w:hint="eastAsia"/>
          <w:b w:val="0"/>
          <w:bCs w:val="0"/>
          <w:color w:val="auto"/>
          <w:highlight w:val="none"/>
        </w:rPr>
      </w:pPr>
      <w:r>
        <w:rPr>
          <w:rFonts w:hint="eastAsia"/>
          <w:b/>
          <w:bCs/>
          <w:color w:val="auto"/>
          <w:highlight w:val="none"/>
          <w:lang w:val="en-US" w:eastAsia="zh-CN"/>
        </w:rPr>
        <w:t>4</w:t>
      </w:r>
      <w:r>
        <w:rPr>
          <w:rFonts w:hint="eastAsia"/>
          <w:b w:val="0"/>
          <w:bCs w:val="0"/>
          <w:color w:val="auto"/>
          <w:highlight w:val="none"/>
          <w:lang w:val="en-US" w:eastAsia="zh-CN"/>
        </w:rPr>
        <w:t xml:space="preserve">  </w:t>
      </w:r>
      <w:r>
        <w:rPr>
          <w:rFonts w:hint="eastAsia"/>
          <w:b w:val="0"/>
          <w:bCs w:val="0"/>
          <w:color w:val="auto"/>
          <w:highlight w:val="none"/>
        </w:rPr>
        <w:t>组装</w:t>
      </w:r>
    </w:p>
    <w:p w14:paraId="351EE62A">
      <w:pPr>
        <w:ind w:firstLine="480" w:firstLineChars="200"/>
        <w:rPr>
          <w:rFonts w:hint="eastAsia"/>
          <w:b w:val="0"/>
          <w:bCs w:val="0"/>
          <w:color w:val="auto"/>
          <w:highlight w:val="none"/>
        </w:rPr>
      </w:pPr>
      <w:r>
        <w:rPr>
          <w:rFonts w:hint="eastAsia"/>
          <w:b w:val="0"/>
          <w:bCs w:val="0"/>
          <w:color w:val="auto"/>
          <w:highlight w:val="none"/>
        </w:rPr>
        <w:t>构件的组装应在专用胎具上进行，以控制整体尺寸。组装前，零件的相互接触面及沿焊缝的每边 30mm</w:t>
      </w:r>
      <w:r>
        <w:rPr>
          <w:rFonts w:hint="eastAsia"/>
          <w:b w:val="0"/>
          <w:bCs w:val="0"/>
          <w:color w:val="auto"/>
          <w:highlight w:val="none"/>
          <w:lang w:eastAsia="zh-CN"/>
        </w:rPr>
        <w:t>～</w:t>
      </w:r>
      <w:r>
        <w:rPr>
          <w:rFonts w:hint="eastAsia"/>
          <w:b w:val="0"/>
          <w:bCs w:val="0"/>
          <w:color w:val="auto"/>
          <w:highlight w:val="none"/>
        </w:rPr>
        <w:t>50mm 范围内应除去铁锈、油污、氧化皮、毛刺等。焊后应根据变形情况采取机械或火焰矫正。</w:t>
      </w:r>
    </w:p>
    <w:p w14:paraId="180995FC">
      <w:pPr>
        <w:ind w:firstLine="480" w:firstLineChars="200"/>
        <w:rPr>
          <w:rFonts w:hint="eastAsia"/>
          <w:b w:val="0"/>
          <w:bCs w:val="0"/>
          <w:color w:val="auto"/>
          <w:highlight w:val="none"/>
        </w:rPr>
      </w:pPr>
      <w:r>
        <w:rPr>
          <w:rFonts w:hint="eastAsia"/>
          <w:b w:val="0"/>
          <w:bCs w:val="0"/>
          <w:color w:val="auto"/>
          <w:highlight w:val="none"/>
        </w:rPr>
        <w:t>要求“接触承压”的连接面，在组装时应保证至少有 75% 的接触面，其余部位间隙应不超过 0.3 mm。</w:t>
      </w:r>
    </w:p>
    <w:p w14:paraId="58CCA208">
      <w:pPr>
        <w:ind w:firstLine="480" w:firstLineChars="200"/>
        <w:rPr>
          <w:rFonts w:hint="eastAsia"/>
          <w:b w:val="0"/>
          <w:bCs w:val="0"/>
          <w:color w:val="auto"/>
          <w:highlight w:val="none"/>
        </w:rPr>
      </w:pPr>
      <w:r>
        <w:rPr>
          <w:rFonts w:hint="eastAsia"/>
          <w:b w:val="0"/>
          <w:bCs w:val="0"/>
          <w:color w:val="auto"/>
          <w:highlight w:val="none"/>
        </w:rPr>
        <w:t>5 焊接</w:t>
      </w:r>
    </w:p>
    <w:p w14:paraId="7A26865D">
      <w:pPr>
        <w:ind w:firstLine="480" w:firstLineChars="200"/>
        <w:rPr>
          <w:rFonts w:hint="eastAsia"/>
          <w:b w:val="0"/>
          <w:bCs w:val="0"/>
          <w:color w:val="auto"/>
          <w:highlight w:val="none"/>
        </w:rPr>
      </w:pPr>
      <w:r>
        <w:rPr>
          <w:rFonts w:hint="eastAsia"/>
          <w:b w:val="0"/>
          <w:bCs w:val="0"/>
          <w:color w:val="auto"/>
          <w:highlight w:val="none"/>
        </w:rPr>
        <w:t>焊接前应完成焊接工艺评定，并据此编制焊接工艺规程。</w:t>
      </w:r>
    </w:p>
    <w:p w14:paraId="3341EE15">
      <w:pPr>
        <w:ind w:firstLine="480" w:firstLineChars="200"/>
        <w:rPr>
          <w:rFonts w:hint="eastAsia"/>
          <w:b w:val="0"/>
          <w:bCs w:val="0"/>
          <w:color w:val="auto"/>
          <w:highlight w:val="none"/>
        </w:rPr>
      </w:pPr>
      <w:r>
        <w:rPr>
          <w:rFonts w:hint="eastAsia"/>
          <w:b w:val="0"/>
          <w:bCs w:val="0"/>
          <w:color w:val="auto"/>
          <w:highlight w:val="none"/>
          <w:lang w:val="en-US" w:eastAsia="zh-CN"/>
        </w:rPr>
        <w:t>有冷裂倾向的材料焊接应</w:t>
      </w:r>
      <w:r>
        <w:rPr>
          <w:rFonts w:hint="eastAsia"/>
          <w:b w:val="0"/>
          <w:bCs w:val="0"/>
          <w:color w:val="auto"/>
          <w:highlight w:val="none"/>
        </w:rPr>
        <w:t>采取预热、后热等工艺措施防止冷裂纹</w:t>
      </w:r>
      <w:r>
        <w:rPr>
          <w:rFonts w:hint="eastAsia"/>
          <w:b w:val="0"/>
          <w:bCs w:val="0"/>
          <w:color w:val="auto"/>
          <w:highlight w:val="none"/>
          <w:lang w:eastAsia="zh-CN"/>
        </w:rPr>
        <w:t>，</w:t>
      </w:r>
      <w:r>
        <w:rPr>
          <w:rFonts w:hint="eastAsia"/>
          <w:b w:val="0"/>
          <w:bCs w:val="0"/>
          <w:color w:val="auto"/>
          <w:highlight w:val="none"/>
          <w:lang w:val="en-US" w:eastAsia="zh-CN"/>
        </w:rPr>
        <w:t>其相关工艺参数在焊接工艺规程明确</w:t>
      </w:r>
      <w:r>
        <w:rPr>
          <w:rFonts w:hint="eastAsia"/>
          <w:b w:val="0"/>
          <w:bCs w:val="0"/>
          <w:color w:val="auto"/>
          <w:highlight w:val="none"/>
        </w:rPr>
        <w:t>。</w:t>
      </w:r>
    </w:p>
    <w:p w14:paraId="2D6F10AF">
      <w:pPr>
        <w:ind w:firstLine="480" w:firstLineChars="200"/>
        <w:rPr>
          <w:rFonts w:hint="eastAsia"/>
          <w:b w:val="0"/>
          <w:bCs w:val="0"/>
          <w:color w:val="auto"/>
          <w:highlight w:val="none"/>
        </w:rPr>
      </w:pPr>
      <w:r>
        <w:rPr>
          <w:rFonts w:hint="eastAsia"/>
          <w:b w:val="0"/>
          <w:bCs w:val="0"/>
          <w:color w:val="auto"/>
          <w:highlight w:val="none"/>
        </w:rPr>
        <w:t>所有焊缝应进行外观质量检查。对接焊缝、T形焊缝等主要受力焊缝应按设计要求进行无损检测（超声波或射线探伤），检测比例应符合现行国家标准《钢结构焊接规范》GB 50661的相关规定。</w:t>
      </w:r>
    </w:p>
    <w:p w14:paraId="58450A88">
      <w:pPr>
        <w:ind w:firstLine="480" w:firstLineChars="200"/>
        <w:rPr>
          <w:rFonts w:hint="eastAsia"/>
          <w:b w:val="0"/>
          <w:bCs w:val="0"/>
          <w:color w:val="auto"/>
          <w:highlight w:val="none"/>
        </w:rPr>
      </w:pPr>
      <w:r>
        <w:rPr>
          <w:rFonts w:hint="eastAsia"/>
          <w:b w:val="0"/>
          <w:bCs w:val="0"/>
          <w:color w:val="auto"/>
          <w:highlight w:val="none"/>
        </w:rPr>
        <w:t>焊缝缺陷超标允许返修，但同一部位的返修次数不宜超过两次。如超过两次，对于关键焊缝、重要焊缝，在返修前应通过焊接工艺评定确定返修方案。</w:t>
      </w:r>
    </w:p>
    <w:p w14:paraId="4B3D97D8">
      <w:pPr>
        <w:ind w:firstLine="480" w:firstLineChars="200"/>
        <w:rPr>
          <w:rFonts w:hint="eastAsia"/>
          <w:b w:val="0"/>
          <w:bCs w:val="0"/>
          <w:color w:val="auto"/>
          <w:highlight w:val="none"/>
        </w:rPr>
      </w:pPr>
      <w:r>
        <w:rPr>
          <w:rFonts w:hint="eastAsia"/>
          <w:b w:val="0"/>
          <w:bCs w:val="0"/>
          <w:color w:val="auto"/>
          <w:highlight w:val="none"/>
        </w:rPr>
        <w:t>支承系统</w:t>
      </w:r>
      <w:r>
        <w:rPr>
          <w:rFonts w:hint="eastAsia"/>
          <w:b w:val="0"/>
          <w:bCs w:val="0"/>
          <w:color w:val="auto"/>
          <w:highlight w:val="none"/>
          <w:lang w:val="en-US" w:eastAsia="zh-CN"/>
        </w:rPr>
        <w:t>等重要</w:t>
      </w:r>
      <w:r>
        <w:rPr>
          <w:rFonts w:hint="eastAsia"/>
          <w:b w:val="0"/>
          <w:bCs w:val="0"/>
          <w:color w:val="auto"/>
          <w:highlight w:val="none"/>
        </w:rPr>
        <w:t>构件焊接完成后，应消减焊接残余应力。</w:t>
      </w:r>
    </w:p>
    <w:p w14:paraId="7F0168A3">
      <w:pPr>
        <w:ind w:firstLine="482" w:firstLineChars="200"/>
        <w:rPr>
          <w:rFonts w:hint="eastAsia"/>
          <w:b w:val="0"/>
          <w:bCs w:val="0"/>
          <w:color w:val="auto"/>
          <w:highlight w:val="none"/>
        </w:rPr>
      </w:pPr>
      <w:r>
        <w:rPr>
          <w:rFonts w:hint="eastAsia"/>
          <w:b/>
          <w:bCs/>
          <w:color w:val="auto"/>
          <w:highlight w:val="none"/>
        </w:rPr>
        <w:t>6</w:t>
      </w:r>
      <w:r>
        <w:rPr>
          <w:rFonts w:hint="eastAsia"/>
          <w:b w:val="0"/>
          <w:bCs w:val="0"/>
          <w:color w:val="auto"/>
          <w:highlight w:val="none"/>
          <w:lang w:val="en-US" w:eastAsia="zh-CN"/>
        </w:rPr>
        <w:t xml:space="preserve"> </w:t>
      </w:r>
      <w:r>
        <w:rPr>
          <w:rFonts w:hint="eastAsia"/>
          <w:b w:val="0"/>
          <w:bCs w:val="0"/>
          <w:color w:val="auto"/>
          <w:highlight w:val="none"/>
        </w:rPr>
        <w:t xml:space="preserve"> 矫正</w:t>
      </w:r>
    </w:p>
    <w:p w14:paraId="2F242E43">
      <w:pPr>
        <w:ind w:firstLine="480" w:firstLineChars="200"/>
        <w:rPr>
          <w:rFonts w:hint="eastAsia"/>
          <w:b w:val="0"/>
          <w:bCs w:val="0"/>
          <w:color w:val="auto"/>
          <w:highlight w:val="none"/>
        </w:rPr>
      </w:pPr>
      <w:r>
        <w:rPr>
          <w:rFonts w:hint="eastAsia"/>
          <w:b w:val="0"/>
          <w:bCs w:val="0"/>
          <w:color w:val="auto"/>
          <w:highlight w:val="none"/>
        </w:rPr>
        <w:t>零件下料后其几何公差不符合要求时应矫正，矫正应在冷状态下进行。冷矫正时应缓慢加力，室温不宜低于 5℃。</w:t>
      </w:r>
    </w:p>
    <w:p w14:paraId="3FABD8D9">
      <w:pPr>
        <w:ind w:firstLine="480" w:firstLineChars="200"/>
        <w:rPr>
          <w:rFonts w:hint="eastAsia"/>
          <w:b w:val="0"/>
          <w:bCs w:val="0"/>
          <w:color w:val="auto"/>
          <w:highlight w:val="none"/>
        </w:rPr>
      </w:pPr>
      <w:r>
        <w:rPr>
          <w:rFonts w:hint="eastAsia"/>
          <w:b w:val="0"/>
          <w:bCs w:val="0"/>
          <w:color w:val="auto"/>
          <w:highlight w:val="none"/>
        </w:rPr>
        <w:t>碳素结构钢和低合金结构钢热矫正时，加热温度应控制在 750℃~900℃。同一部位加热次数不应超过两次，并应缓慢冷却。</w:t>
      </w:r>
    </w:p>
    <w:p w14:paraId="32F56796">
      <w:pPr>
        <w:ind w:firstLine="480" w:firstLineChars="200"/>
        <w:rPr>
          <w:rFonts w:hint="eastAsia"/>
          <w:b w:val="0"/>
          <w:bCs w:val="0"/>
          <w:color w:val="auto"/>
          <w:highlight w:val="none"/>
        </w:rPr>
      </w:pPr>
      <w:r>
        <w:rPr>
          <w:rFonts w:hint="eastAsia"/>
          <w:b w:val="0"/>
          <w:bCs w:val="0"/>
          <w:color w:val="auto"/>
          <w:highlight w:val="none"/>
        </w:rPr>
        <w:t>矫正后的钢材表面，不应有明显的凹面或损伤，划痕深度不得大于 0.5mm，且不应大于该钢材厚度负偏差的 1/2。</w:t>
      </w:r>
    </w:p>
    <w:p w14:paraId="6AB85CEA">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val="0"/>
          <w:bCs w:val="0"/>
          <w:color w:val="auto"/>
          <w:kern w:val="0"/>
          <w:sz w:val="24"/>
          <w:szCs w:val="24"/>
          <w:highlight w:val="none"/>
          <w:lang w:val="en-US" w:eastAsia="zh-CN" w:bidi="ar"/>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default" w:ascii="Times New Roman" w:hAnsi="Times New Roman" w:eastAsia="宋体" w:cs="Times New Roman"/>
          <w:b/>
          <w:bCs/>
          <w:color w:val="auto"/>
          <w:kern w:val="0"/>
          <w:sz w:val="24"/>
          <w:szCs w:val="24"/>
          <w:highlight w:val="none"/>
          <w:lang w:val="en-US" w:eastAsia="zh-CN" w:bidi="ar"/>
        </w:rPr>
        <w:t xml:space="preserve">.2  </w:t>
      </w:r>
      <w:r>
        <w:rPr>
          <w:rFonts w:hint="default" w:ascii="Times New Roman" w:hAnsi="Times New Roman" w:eastAsia="宋体" w:cs="Times New Roman"/>
          <w:b w:val="0"/>
          <w:bCs w:val="0"/>
          <w:color w:val="auto"/>
          <w:kern w:val="0"/>
          <w:sz w:val="24"/>
          <w:szCs w:val="24"/>
          <w:highlight w:val="none"/>
          <w:lang w:val="en-US" w:eastAsia="zh-CN" w:bidi="ar"/>
        </w:rPr>
        <w:t>机械零部件加工</w:t>
      </w:r>
    </w:p>
    <w:p w14:paraId="25FB3AF5">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1</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一般要求</w:t>
      </w:r>
    </w:p>
    <w:p w14:paraId="4A58198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机械零部件的加工应按设计和工艺文件要求执行，并应符合现行国家标准</w:t>
      </w:r>
      <w:r>
        <w:rPr>
          <w:rFonts w:hint="eastAsia" w:cs="Times New Roman"/>
          <w:color w:val="auto"/>
          <w:kern w:val="0"/>
          <w:sz w:val="24"/>
          <w:highlight w:val="none"/>
          <w:lang w:val="en-US" w:eastAsia="zh-CN" w:bidi="ar"/>
        </w:rPr>
        <w:t>《机械设备安装工程施工及验收通用规范》</w:t>
      </w:r>
      <w:r>
        <w:rPr>
          <w:rFonts w:hint="default" w:ascii="Times New Roman" w:hAnsi="Times New Roman" w:eastAsia="宋体" w:cs="Times New Roman"/>
          <w:color w:val="auto"/>
          <w:kern w:val="0"/>
          <w:sz w:val="24"/>
          <w:highlight w:val="none"/>
          <w:lang w:val="en-US" w:eastAsia="zh-CN" w:bidi="ar"/>
        </w:rPr>
        <w:t>GB 50231、</w:t>
      </w:r>
      <w:r>
        <w:rPr>
          <w:rFonts w:hint="eastAsia" w:cs="Times New Roman"/>
          <w:color w:val="auto"/>
          <w:kern w:val="0"/>
          <w:sz w:val="24"/>
          <w:highlight w:val="none"/>
          <w:lang w:val="en-US" w:eastAsia="zh-CN" w:bidi="ar"/>
        </w:rPr>
        <w:t>《液压缸试验方法》</w:t>
      </w:r>
      <w:r>
        <w:rPr>
          <w:rFonts w:hint="default" w:ascii="Times New Roman" w:hAnsi="Times New Roman" w:eastAsia="宋体" w:cs="Times New Roman"/>
          <w:color w:val="auto"/>
          <w:kern w:val="0"/>
          <w:sz w:val="24"/>
          <w:highlight w:val="none"/>
          <w:lang w:val="en-US" w:eastAsia="zh-CN" w:bidi="ar"/>
        </w:rPr>
        <w:t>GB/T 15622 的相关规定。</w:t>
      </w:r>
    </w:p>
    <w:p w14:paraId="7B8C80A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传动件：齿轮齿条、丝杆、轴承等精密部件应由具备相应资质的厂商生产，其加工精度和表面质量应符合设计文件的规定。</w:t>
      </w:r>
    </w:p>
    <w:p w14:paraId="65601C8B">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 xml:space="preserve">2 </w:t>
      </w:r>
      <w:r>
        <w:rPr>
          <w:rFonts w:hint="eastAsia" w:cs="Times New Roman"/>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液压缸</w:t>
      </w:r>
    </w:p>
    <w:p w14:paraId="5D735E96">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液压缸的缸体、活塞杆等主要零件的材料、加工精度及表面粗糙度应符合设计文件要求。</w:t>
      </w:r>
    </w:p>
    <w:p w14:paraId="090939D9">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cs="Times New Roman"/>
          <w:color w:val="auto"/>
          <w:kern w:val="0"/>
          <w:sz w:val="24"/>
          <w:highlight w:val="none"/>
          <w:lang w:val="en-US" w:eastAsia="zh-CN" w:bidi="ar"/>
        </w:rPr>
        <w:t>液压缸组装后，应在工厂内完成耐压、泄漏及动作试验，试验压力及保压时间应符合设计文件要求及《液压缸试验方法》GB/T 15622 的相关规定</w:t>
      </w:r>
      <w:r>
        <w:rPr>
          <w:rFonts w:hint="default" w:ascii="Times New Roman" w:hAnsi="Times New Roman" w:eastAsia="宋体" w:cs="Times New Roman"/>
          <w:color w:val="auto"/>
          <w:kern w:val="0"/>
          <w:sz w:val="24"/>
          <w:highlight w:val="none"/>
          <w:lang w:val="en-US" w:eastAsia="zh-CN" w:bidi="ar"/>
        </w:rPr>
        <w:t>。</w:t>
      </w:r>
    </w:p>
    <w:p w14:paraId="39FD6789">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3</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齿轮齿条</w:t>
      </w:r>
    </w:p>
    <w:p w14:paraId="4DF4390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齿轮、齿条的加工精度等级</w:t>
      </w:r>
      <w:r>
        <w:rPr>
          <w:rFonts w:hint="eastAsia" w:cs="Times New Roman"/>
          <w:color w:val="auto"/>
          <w:kern w:val="0"/>
          <w:sz w:val="24"/>
          <w:highlight w:val="none"/>
          <w:lang w:val="en-US" w:eastAsia="zh-CN" w:bidi="ar"/>
        </w:rPr>
        <w:t>和</w:t>
      </w:r>
      <w:r>
        <w:rPr>
          <w:rFonts w:hint="default" w:ascii="Times New Roman" w:hAnsi="Times New Roman" w:eastAsia="宋体" w:cs="Times New Roman"/>
          <w:color w:val="auto"/>
          <w:kern w:val="0"/>
          <w:sz w:val="24"/>
          <w:highlight w:val="none"/>
          <w:lang w:val="en-US" w:eastAsia="zh-CN" w:bidi="ar"/>
        </w:rPr>
        <w:t>齿面硬度及硬化层深度应符合设计文件规定。</w:t>
      </w:r>
    </w:p>
    <w:p w14:paraId="7C89E19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齿轮齿条装配后，应进行啮合检查，接触斑点及侧隙应符合设计文件及现行国家标准《圆柱齿轮ISO 齿面公差分级制》GB/T 10095.1-2 的相关规定。</w:t>
      </w:r>
    </w:p>
    <w:p w14:paraId="407E5298">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4</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丝杆</w:t>
      </w:r>
    </w:p>
    <w:p w14:paraId="2CEEF82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丝杆的直线度、螺纹精度及表面粗糙度应符合设计文件要求。</w:t>
      </w:r>
    </w:p>
    <w:p w14:paraId="1EC2057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丝杆与螺母的配合应顺畅，间隙应符合设计规定。</w:t>
      </w:r>
    </w:p>
    <w:p w14:paraId="39C4D2A9">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5</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装配与厂内调试</w:t>
      </w:r>
    </w:p>
    <w:p w14:paraId="4502C019">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所有零部件在装配前应清洗干净，无毛刺、铁屑。</w:t>
      </w:r>
    </w:p>
    <w:p w14:paraId="07DF87C9">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轴承的安装应采用专用工具，严禁直接敲击。滚动轴承的配合应符合现行国家标准《滚动轴承配合》GB/T 275 的相关规定。</w:t>
      </w:r>
    </w:p>
    <w:p w14:paraId="19B6393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轴承安装后，应转动灵活，无卡滞现象。轴向游隙应符合设计文件要求。</w:t>
      </w:r>
    </w:p>
    <w:p w14:paraId="0EFD139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cs="Times New Roman"/>
          <w:color w:val="auto"/>
          <w:kern w:val="0"/>
          <w:sz w:val="24"/>
          <w:highlight w:val="none"/>
          <w:lang w:val="en-US" w:eastAsia="zh-CN" w:bidi="ar"/>
        </w:rPr>
        <w:t>提升/顶升机构</w:t>
      </w:r>
      <w:r>
        <w:rPr>
          <w:rFonts w:hint="default" w:ascii="Times New Roman" w:hAnsi="Times New Roman" w:eastAsia="宋体" w:cs="Times New Roman"/>
          <w:color w:val="auto"/>
          <w:kern w:val="0"/>
          <w:sz w:val="24"/>
          <w:highlight w:val="none"/>
          <w:lang w:val="en-US" w:eastAsia="zh-CN" w:bidi="ar"/>
        </w:rPr>
        <w:t>（液压泵站、油缸、阀组）应按现行国家标准《液压缸试验方法》GB/T 15622在工厂完成整体组装和联动调试。调试时，应重点检查多缸动作的同步性（行程差）和密封性，并记录调试数据，作为出厂检验的依据。</w:t>
      </w:r>
    </w:p>
    <w:p w14:paraId="2220A67B">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cs="Times New Roman"/>
          <w:b/>
          <w:bCs/>
          <w:color w:val="auto"/>
          <w:kern w:val="0"/>
          <w:sz w:val="24"/>
          <w:szCs w:val="24"/>
          <w:highlight w:val="none"/>
          <w:lang w:val="en-US" w:eastAsia="zh-CN" w:bidi="ar"/>
        </w:rPr>
      </w:pPr>
      <w:r>
        <w:rPr>
          <w:rFonts w:hint="eastAsia" w:cs="Times New Roman"/>
          <w:b/>
          <w:bCs/>
          <w:color w:val="auto"/>
          <w:kern w:val="0"/>
          <w:sz w:val="24"/>
          <w:szCs w:val="24"/>
          <w:highlight w:val="none"/>
          <w:lang w:val="en-US" w:eastAsia="zh-CN" w:bidi="ar"/>
        </w:rPr>
        <w:t>7</w:t>
      </w:r>
      <w:r>
        <w:rPr>
          <w:rFonts w:hint="default"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default"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3</w:t>
      </w:r>
      <w:r>
        <w:rPr>
          <w:rFonts w:hint="default" w:cs="Times New Roman"/>
          <w:b/>
          <w:bCs/>
          <w:color w:val="auto"/>
          <w:kern w:val="0"/>
          <w:sz w:val="24"/>
          <w:szCs w:val="24"/>
          <w:highlight w:val="none"/>
          <w:lang w:val="en-US" w:eastAsia="zh-CN" w:bidi="ar"/>
        </w:rPr>
        <w:t xml:space="preserve">  防腐与涂装</w:t>
      </w:r>
    </w:p>
    <w:p w14:paraId="02E3ABAD">
      <w:pPr>
        <w:ind w:firstLine="480" w:firstLineChars="200"/>
        <w:rPr>
          <w:rFonts w:hint="eastAsia"/>
          <w:b w:val="0"/>
          <w:bCs w:val="0"/>
          <w:color w:val="auto"/>
          <w:highlight w:val="none"/>
        </w:rPr>
      </w:pPr>
      <w:r>
        <w:rPr>
          <w:rFonts w:hint="eastAsia"/>
          <w:b w:val="0"/>
          <w:bCs w:val="0"/>
          <w:color w:val="auto"/>
          <w:highlight w:val="none"/>
        </w:rPr>
        <w:t>防腐涂装应符合设计文件及现行国家标准《重型机械通用技术条件 第 12 部分：涂装》GB/T 37400.12 的相关规定，并根据环境腐蚀类别确定涂装体系。</w:t>
      </w:r>
    </w:p>
    <w:p w14:paraId="428FBEA4">
      <w:pPr>
        <w:ind w:firstLine="482" w:firstLineChars="200"/>
        <w:rPr>
          <w:rFonts w:hint="eastAsia"/>
          <w:b w:val="0"/>
          <w:bCs w:val="0"/>
          <w:color w:val="auto"/>
          <w:highlight w:val="none"/>
        </w:rPr>
      </w:pPr>
      <w:r>
        <w:rPr>
          <w:rFonts w:hint="eastAsia"/>
          <w:b/>
          <w:bCs/>
          <w:color w:val="auto"/>
          <w:highlight w:val="none"/>
        </w:rPr>
        <w:t>1</w:t>
      </w:r>
      <w:r>
        <w:rPr>
          <w:rFonts w:hint="eastAsia"/>
          <w:b w:val="0"/>
          <w:bCs w:val="0"/>
          <w:color w:val="auto"/>
          <w:highlight w:val="none"/>
        </w:rPr>
        <w:t xml:space="preserve"> 表面处理</w:t>
      </w:r>
    </w:p>
    <w:p w14:paraId="054A1ACA">
      <w:pPr>
        <w:ind w:firstLine="480" w:firstLineChars="200"/>
        <w:rPr>
          <w:rFonts w:hint="eastAsia"/>
          <w:b w:val="0"/>
          <w:bCs w:val="0"/>
          <w:color w:val="auto"/>
          <w:highlight w:val="none"/>
        </w:rPr>
      </w:pPr>
      <w:r>
        <w:rPr>
          <w:rFonts w:hint="eastAsia"/>
          <w:b w:val="0"/>
          <w:bCs w:val="0"/>
          <w:color w:val="auto"/>
          <w:highlight w:val="none"/>
        </w:rPr>
        <w:t>结构件经检验合格后，方可转入涂装工序。</w:t>
      </w:r>
    </w:p>
    <w:p w14:paraId="0AC5AD6D">
      <w:pPr>
        <w:ind w:firstLine="480" w:firstLineChars="200"/>
        <w:rPr>
          <w:rFonts w:hint="eastAsia"/>
          <w:b w:val="0"/>
          <w:bCs w:val="0"/>
          <w:color w:val="auto"/>
          <w:highlight w:val="none"/>
        </w:rPr>
      </w:pPr>
      <w:r>
        <w:rPr>
          <w:rFonts w:hint="eastAsia"/>
          <w:b w:val="0"/>
          <w:bCs w:val="0"/>
          <w:color w:val="auto"/>
          <w:highlight w:val="none"/>
        </w:rPr>
        <w:t>涂装前，钢材表面应进行喷射或抛射除锈处理，除锈等级应不低于 Sa 2.5 级（</w:t>
      </w:r>
      <w:r>
        <w:rPr>
          <w:rFonts w:hint="eastAsia"/>
          <w:b w:val="0"/>
          <w:bCs w:val="0"/>
          <w:color w:val="auto"/>
          <w:highlight w:val="none"/>
          <w:lang w:eastAsia="zh-CN"/>
        </w:rPr>
        <w:t>《涂覆涂料前钢材表面处理 表面清洁度的目视评定 第1部分：未涂覆过的钢材表面和全面清除原有涂层后的钢材表面的锈蚀等级和处理等级》</w:t>
      </w:r>
      <w:r>
        <w:rPr>
          <w:rFonts w:hint="eastAsia"/>
          <w:b w:val="0"/>
          <w:bCs w:val="0"/>
          <w:color w:val="auto"/>
          <w:highlight w:val="none"/>
        </w:rPr>
        <w:t>GB/T 8923.1）。</w:t>
      </w:r>
    </w:p>
    <w:p w14:paraId="42B54B50">
      <w:pPr>
        <w:ind w:firstLine="480" w:firstLineChars="200"/>
        <w:rPr>
          <w:rFonts w:hint="eastAsia"/>
          <w:b w:val="0"/>
          <w:bCs w:val="0"/>
          <w:color w:val="auto"/>
          <w:highlight w:val="none"/>
        </w:rPr>
      </w:pPr>
      <w:r>
        <w:rPr>
          <w:rFonts w:hint="eastAsia"/>
          <w:b w:val="0"/>
          <w:bCs w:val="0"/>
          <w:color w:val="auto"/>
          <w:highlight w:val="none"/>
        </w:rPr>
        <w:t>经处理的钢材表面不应有焊渣、焊疤、灰尘、油污、水和毛刺等。表面粗糙度应符合设计要求。</w:t>
      </w:r>
    </w:p>
    <w:p w14:paraId="1D7FA077">
      <w:pPr>
        <w:ind w:firstLine="480" w:firstLineChars="200"/>
        <w:rPr>
          <w:rFonts w:hint="eastAsia"/>
          <w:b w:val="0"/>
          <w:bCs w:val="0"/>
          <w:color w:val="auto"/>
          <w:highlight w:val="none"/>
        </w:rPr>
      </w:pPr>
      <w:r>
        <w:rPr>
          <w:rFonts w:hint="eastAsia"/>
          <w:b w:val="0"/>
          <w:bCs w:val="0"/>
          <w:color w:val="auto"/>
          <w:highlight w:val="none"/>
        </w:rPr>
        <w:t>表面处理完成后，应及时涂刷底漆，表面不得有油污、锈迹或氧化皮。</w:t>
      </w:r>
    </w:p>
    <w:p w14:paraId="3BC43C2F">
      <w:pPr>
        <w:ind w:firstLine="482" w:firstLineChars="200"/>
        <w:rPr>
          <w:rFonts w:hint="eastAsia"/>
          <w:b w:val="0"/>
          <w:bCs w:val="0"/>
          <w:color w:val="auto"/>
          <w:highlight w:val="none"/>
        </w:rPr>
      </w:pPr>
      <w:r>
        <w:rPr>
          <w:rFonts w:hint="eastAsia"/>
          <w:b/>
          <w:bCs/>
          <w:color w:val="auto"/>
          <w:highlight w:val="none"/>
        </w:rPr>
        <w:t>2</w:t>
      </w:r>
      <w:r>
        <w:rPr>
          <w:rFonts w:hint="eastAsia"/>
          <w:b w:val="0"/>
          <w:bCs w:val="0"/>
          <w:color w:val="auto"/>
          <w:highlight w:val="none"/>
          <w:lang w:val="en-US" w:eastAsia="zh-CN"/>
        </w:rPr>
        <w:t xml:space="preserve"> </w:t>
      </w:r>
      <w:r>
        <w:rPr>
          <w:rFonts w:hint="eastAsia"/>
          <w:b w:val="0"/>
          <w:bCs w:val="0"/>
          <w:color w:val="auto"/>
          <w:highlight w:val="none"/>
        </w:rPr>
        <w:t xml:space="preserve"> 涂装体系</w:t>
      </w:r>
    </w:p>
    <w:p w14:paraId="02EF2365">
      <w:pPr>
        <w:ind w:firstLine="480" w:firstLineChars="200"/>
        <w:rPr>
          <w:rFonts w:hint="eastAsia"/>
          <w:b w:val="0"/>
          <w:bCs w:val="0"/>
          <w:color w:val="auto"/>
          <w:highlight w:val="none"/>
        </w:rPr>
      </w:pPr>
      <w:r>
        <w:rPr>
          <w:rFonts w:hint="eastAsia"/>
          <w:b w:val="0"/>
          <w:bCs w:val="0"/>
          <w:color w:val="auto"/>
          <w:highlight w:val="none"/>
        </w:rPr>
        <w:t>防腐涂装体系一般由底漆、中间漆和面漆构成，各层漆膜厚度应符合设计要求。</w:t>
      </w:r>
    </w:p>
    <w:p w14:paraId="6DAD9B8D">
      <w:pPr>
        <w:ind w:firstLine="480" w:firstLineChars="200"/>
        <w:rPr>
          <w:rFonts w:hint="eastAsia"/>
          <w:b w:val="0"/>
          <w:bCs w:val="0"/>
          <w:color w:val="auto"/>
          <w:highlight w:val="none"/>
        </w:rPr>
      </w:pPr>
      <w:r>
        <w:rPr>
          <w:rFonts w:hint="eastAsia"/>
          <w:b w:val="0"/>
          <w:bCs w:val="0"/>
          <w:color w:val="auto"/>
          <w:highlight w:val="none"/>
        </w:rPr>
        <w:t>涂装施工应在构件组装和预拼装工程检验合格后进行。涂装时的环境温度宜为 5℃~38℃，相对湿度不应大于 85%，钢材表面温度应高于露点温度 3℃。</w:t>
      </w:r>
    </w:p>
    <w:p w14:paraId="609A3BA2">
      <w:pPr>
        <w:ind w:firstLine="482" w:firstLineChars="200"/>
        <w:rPr>
          <w:rFonts w:hint="eastAsia"/>
          <w:b w:val="0"/>
          <w:bCs w:val="0"/>
          <w:color w:val="auto"/>
          <w:highlight w:val="none"/>
        </w:rPr>
      </w:pPr>
      <w:r>
        <w:rPr>
          <w:rFonts w:hint="eastAsia"/>
          <w:b/>
          <w:bCs/>
          <w:color w:val="auto"/>
          <w:highlight w:val="none"/>
        </w:rPr>
        <w:t xml:space="preserve">3 </w:t>
      </w:r>
      <w:r>
        <w:rPr>
          <w:rFonts w:hint="eastAsia"/>
          <w:b w:val="0"/>
          <w:bCs w:val="0"/>
          <w:color w:val="auto"/>
          <w:highlight w:val="none"/>
          <w:lang w:val="en-US" w:eastAsia="zh-CN"/>
        </w:rPr>
        <w:t xml:space="preserve"> </w:t>
      </w:r>
      <w:r>
        <w:rPr>
          <w:rFonts w:hint="eastAsia"/>
          <w:b w:val="0"/>
          <w:bCs w:val="0"/>
          <w:color w:val="auto"/>
          <w:highlight w:val="none"/>
        </w:rPr>
        <w:t>涂层检验</w:t>
      </w:r>
    </w:p>
    <w:p w14:paraId="54FEADF5">
      <w:pPr>
        <w:ind w:firstLine="480" w:firstLineChars="200"/>
        <w:rPr>
          <w:rFonts w:hint="eastAsia"/>
          <w:b w:val="0"/>
          <w:bCs w:val="0"/>
          <w:color w:val="auto"/>
          <w:highlight w:val="none"/>
        </w:rPr>
      </w:pPr>
      <w:r>
        <w:rPr>
          <w:rFonts w:hint="eastAsia"/>
          <w:b w:val="0"/>
          <w:bCs w:val="0"/>
          <w:color w:val="auto"/>
          <w:highlight w:val="none"/>
        </w:rPr>
        <w:t>涂装完成后，应对涂层外观（无漏涂、皱皮、流挂等）和附着力进行检测。</w:t>
      </w:r>
    </w:p>
    <w:p w14:paraId="429E41ED">
      <w:pPr>
        <w:ind w:firstLine="480" w:firstLineChars="200"/>
        <w:rPr>
          <w:rFonts w:hint="eastAsia"/>
          <w:b w:val="0"/>
          <w:bCs w:val="0"/>
          <w:color w:val="auto"/>
          <w:highlight w:val="none"/>
        </w:rPr>
      </w:pPr>
      <w:r>
        <w:rPr>
          <w:rFonts w:hint="eastAsia"/>
          <w:b w:val="0"/>
          <w:bCs w:val="0"/>
          <w:color w:val="auto"/>
          <w:highlight w:val="none"/>
        </w:rPr>
        <w:t>附着力试验方法可采用划格法或拉开法检测。附着力等级不应低于</w:t>
      </w:r>
      <w:r>
        <w:rPr>
          <w:rFonts w:hint="eastAsia"/>
          <w:b w:val="0"/>
          <w:bCs w:val="0"/>
          <w:color w:val="auto"/>
          <w:highlight w:val="none"/>
          <w:lang w:eastAsia="zh-CN"/>
        </w:rPr>
        <w:t>《色漆和清漆 划格试验》</w:t>
      </w:r>
      <w:r>
        <w:rPr>
          <w:rFonts w:hint="eastAsia"/>
          <w:b w:val="0"/>
          <w:bCs w:val="0"/>
          <w:color w:val="auto"/>
          <w:highlight w:val="none"/>
        </w:rPr>
        <w:t>GB/T 9286 规定的2级。</w:t>
      </w:r>
    </w:p>
    <w:p w14:paraId="02AE64B8">
      <w:pPr>
        <w:ind w:firstLine="480" w:firstLineChars="200"/>
        <w:rPr>
          <w:color w:val="auto"/>
          <w:highlight w:val="none"/>
        </w:rPr>
      </w:pPr>
      <w:r>
        <w:rPr>
          <w:rFonts w:hint="eastAsia"/>
          <w:b w:val="0"/>
          <w:bCs w:val="0"/>
          <w:color w:val="auto"/>
          <w:highlight w:val="none"/>
        </w:rPr>
        <w:t>涂装完成后应做必要的防护，避免在运输和安装过程中造成大面积损伤</w:t>
      </w:r>
      <w:r>
        <w:rPr>
          <w:rFonts w:hint="eastAsia"/>
          <w:color w:val="auto"/>
          <w:highlight w:val="none"/>
        </w:rPr>
        <w:t>。</w:t>
      </w:r>
    </w:p>
    <w:p w14:paraId="16C9A046">
      <w:pPr>
        <w:pStyle w:val="3"/>
        <w:bidi w:val="0"/>
        <w:rPr>
          <w:rFonts w:hint="eastAsia" w:cs="Times New Roman"/>
          <w:b/>
          <w:bCs/>
          <w:color w:val="auto"/>
          <w:kern w:val="0"/>
          <w:sz w:val="24"/>
          <w:szCs w:val="24"/>
          <w:highlight w:val="none"/>
          <w:lang w:val="en-US" w:eastAsia="zh-CN" w:bidi="ar"/>
        </w:rPr>
      </w:pPr>
      <w:bookmarkStart w:id="164" w:name="_Toc5544"/>
      <w:r>
        <w:rPr>
          <w:rFonts w:hint="eastAsia"/>
          <w:color w:val="000000" w:themeColor="text1"/>
          <w:lang w:val="en-US" w:eastAsia="zh-CN"/>
          <w14:textFill>
            <w14:solidFill>
              <w14:schemeClr w14:val="tx1"/>
            </w14:solidFill>
          </w14:textFill>
        </w:rPr>
        <w:t>7</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平台预拼装</w:t>
      </w:r>
      <w:bookmarkEnd w:id="164"/>
    </w:p>
    <w:p w14:paraId="71F7782E">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val="0"/>
          <w:bCs w:val="0"/>
          <w:color w:val="auto"/>
          <w:kern w:val="0"/>
          <w:sz w:val="24"/>
          <w:szCs w:val="24"/>
          <w:highlight w:val="none"/>
          <w:lang w:val="en-US" w:eastAsia="zh-CN" w:bidi="ar"/>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2</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default" w:ascii="Times New Roman" w:hAnsi="Times New Roman" w:eastAsia="宋体" w:cs="Times New Roman"/>
          <w:b/>
          <w:bCs/>
          <w:color w:val="auto"/>
          <w:kern w:val="0"/>
          <w:sz w:val="24"/>
          <w:szCs w:val="24"/>
          <w:highlight w:val="none"/>
          <w:lang w:val="en-US" w:eastAsia="zh-CN" w:bidi="ar"/>
        </w:rPr>
        <w:t xml:space="preserve">  </w:t>
      </w:r>
      <w:r>
        <w:rPr>
          <w:rFonts w:hint="eastAsia" w:cs="Times New Roman"/>
          <w:b w:val="0"/>
          <w:bCs w:val="0"/>
          <w:color w:val="auto"/>
          <w:kern w:val="0"/>
          <w:sz w:val="24"/>
          <w:szCs w:val="24"/>
          <w:highlight w:val="none"/>
          <w:lang w:val="en-US" w:eastAsia="zh-CN" w:bidi="ar"/>
        </w:rPr>
        <w:t>一般规定</w:t>
      </w:r>
    </w:p>
    <w:p w14:paraId="5449135C">
      <w:pPr>
        <w:ind w:firstLine="482" w:firstLineChars="200"/>
        <w:rPr>
          <w:rFonts w:hint="eastAsia"/>
          <w:b w:val="0"/>
          <w:bCs w:val="0"/>
          <w:color w:val="auto"/>
          <w:highlight w:val="none"/>
        </w:rPr>
      </w:pPr>
      <w:r>
        <w:rPr>
          <w:rFonts w:hint="eastAsia"/>
          <w:b/>
          <w:bCs/>
          <w:color w:val="auto"/>
          <w:highlight w:val="none"/>
          <w:lang w:val="en-US" w:eastAsia="zh-CN"/>
        </w:rPr>
        <w:t>1</w:t>
      </w:r>
      <w:r>
        <w:rPr>
          <w:rFonts w:hint="eastAsia"/>
          <w:b w:val="0"/>
          <w:bCs w:val="0"/>
          <w:color w:val="auto"/>
          <w:highlight w:val="none"/>
          <w:lang w:val="en-US" w:eastAsia="zh-CN"/>
        </w:rPr>
        <w:t xml:space="preserve">  </w:t>
      </w:r>
      <w:r>
        <w:rPr>
          <w:rFonts w:hint="eastAsia"/>
          <w:b w:val="0"/>
          <w:bCs w:val="0"/>
          <w:color w:val="auto"/>
          <w:highlight w:val="none"/>
          <w:lang w:eastAsia="zh-CN"/>
        </w:rPr>
        <w:t>集成平台</w:t>
      </w:r>
      <w:r>
        <w:rPr>
          <w:rFonts w:hint="eastAsia"/>
          <w:b w:val="0"/>
          <w:bCs w:val="0"/>
          <w:color w:val="auto"/>
          <w:highlight w:val="none"/>
        </w:rPr>
        <w:t>构件制作完成后，应在制造厂内进行预拼装，全面验证构件加工精度、接口匹配性能及空间运动协调性，消除现场安装与运行风险。因制造场地限制无法整体预拼装的，应按7.2.2做局部单元预拼装。</w:t>
      </w:r>
    </w:p>
    <w:p w14:paraId="3A3CDC98">
      <w:pPr>
        <w:ind w:firstLine="482" w:firstLineChars="200"/>
        <w:rPr>
          <w:rFonts w:hint="eastAsia"/>
          <w:b w:val="0"/>
          <w:bCs w:val="0"/>
          <w:color w:val="auto"/>
          <w:highlight w:val="none"/>
        </w:rPr>
      </w:pPr>
      <w:r>
        <w:rPr>
          <w:rFonts w:hint="eastAsia"/>
          <w:b/>
          <w:bCs/>
          <w:color w:val="auto"/>
          <w:highlight w:val="none"/>
          <w:lang w:val="en-US" w:eastAsia="zh-CN"/>
        </w:rPr>
        <w:t>2</w:t>
      </w:r>
      <w:r>
        <w:rPr>
          <w:rFonts w:hint="eastAsia"/>
          <w:b w:val="0"/>
          <w:bCs w:val="0"/>
          <w:color w:val="auto"/>
          <w:highlight w:val="none"/>
          <w:lang w:val="en-US" w:eastAsia="zh-CN"/>
        </w:rPr>
        <w:t xml:space="preserve">  </w:t>
      </w:r>
      <w:r>
        <w:rPr>
          <w:rFonts w:hint="eastAsia"/>
          <w:b w:val="0"/>
          <w:bCs w:val="0"/>
          <w:color w:val="auto"/>
          <w:highlight w:val="none"/>
        </w:rPr>
        <w:t>相关构件应在自由状态下进行预拼装，严禁采用火焰加热、强行压载等方式对构件进行强制定位；构件制造偏差在规范允许范围内时，可采用机械矫正后进行预拼装；预拼装发现超差构件不得现场强行装配，应按7.2.6不合格项处理。</w:t>
      </w:r>
    </w:p>
    <w:p w14:paraId="3C8B35D5">
      <w:pPr>
        <w:ind w:firstLine="482" w:firstLineChars="200"/>
        <w:rPr>
          <w:rFonts w:hint="eastAsia"/>
          <w:b w:val="0"/>
          <w:bCs w:val="0"/>
          <w:color w:val="auto"/>
          <w:highlight w:val="none"/>
        </w:rPr>
      </w:pPr>
      <w:r>
        <w:rPr>
          <w:rFonts w:hint="eastAsia"/>
          <w:b/>
          <w:bCs/>
          <w:color w:val="auto"/>
          <w:highlight w:val="none"/>
          <w:lang w:val="en-US" w:eastAsia="zh-CN"/>
        </w:rPr>
        <w:t>3</w:t>
      </w:r>
      <w:r>
        <w:rPr>
          <w:rFonts w:hint="eastAsia"/>
          <w:b w:val="0"/>
          <w:bCs w:val="0"/>
          <w:color w:val="auto"/>
          <w:highlight w:val="none"/>
          <w:lang w:val="en-US" w:eastAsia="zh-CN"/>
        </w:rPr>
        <w:t xml:space="preserve">  预拼装宜采用从局部到整体的顺序进行，模拟实际安装状态</w:t>
      </w:r>
      <w:r>
        <w:rPr>
          <w:rFonts w:hint="eastAsia"/>
          <w:b w:val="0"/>
          <w:bCs w:val="0"/>
          <w:color w:val="auto"/>
          <w:highlight w:val="none"/>
        </w:rPr>
        <w:t>。</w:t>
      </w:r>
    </w:p>
    <w:p w14:paraId="547E80BA">
      <w:pPr>
        <w:rPr>
          <w:rFonts w:hint="eastAsia" w:eastAsia="宋体"/>
          <w:b w:val="0"/>
          <w:bCs w:val="0"/>
          <w:color w:val="auto"/>
          <w:highlight w:val="none"/>
          <w:lang w:val="en-US" w:eastAsia="zh-CN"/>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2</w:t>
      </w:r>
      <w:r>
        <w:rPr>
          <w:rFonts w:hint="default" w:ascii="Times New Roman" w:hAnsi="Times New Roman" w:eastAsia="宋体" w:cs="Times New Roman"/>
          <w:b/>
          <w:bCs/>
          <w:color w:val="auto"/>
          <w:kern w:val="0"/>
          <w:sz w:val="24"/>
          <w:szCs w:val="24"/>
          <w:highlight w:val="none"/>
          <w:lang w:val="en-US" w:eastAsia="zh-CN" w:bidi="ar"/>
        </w:rPr>
        <w:t>.</w:t>
      </w:r>
      <w:r>
        <w:rPr>
          <w:rFonts w:hint="eastAsia"/>
          <w:b/>
          <w:bCs/>
          <w:color w:val="auto"/>
          <w:highlight w:val="none"/>
        </w:rPr>
        <w:t>2</w:t>
      </w:r>
      <w:r>
        <w:rPr>
          <w:rFonts w:hint="eastAsia"/>
          <w:b w:val="0"/>
          <w:bCs w:val="0"/>
          <w:color w:val="auto"/>
          <w:highlight w:val="none"/>
        </w:rPr>
        <w:t xml:space="preserve"> </w:t>
      </w:r>
      <w:r>
        <w:rPr>
          <w:rFonts w:hint="eastAsia"/>
          <w:b w:val="0"/>
          <w:bCs w:val="0"/>
          <w:color w:val="auto"/>
          <w:highlight w:val="none"/>
          <w:lang w:val="en-US" w:eastAsia="zh-CN"/>
        </w:rPr>
        <w:t xml:space="preserve"> </w:t>
      </w:r>
      <w:r>
        <w:rPr>
          <w:rFonts w:hint="eastAsia"/>
          <w:b w:val="0"/>
          <w:bCs w:val="0"/>
          <w:color w:val="auto"/>
          <w:highlight w:val="none"/>
        </w:rPr>
        <w:t>局部单元预拼装</w:t>
      </w:r>
      <w:r>
        <w:rPr>
          <w:rFonts w:hint="eastAsia"/>
          <w:b w:val="0"/>
          <w:bCs w:val="0"/>
          <w:color w:val="auto"/>
          <w:highlight w:val="none"/>
          <w:lang w:val="en-US" w:eastAsia="zh-CN"/>
        </w:rPr>
        <w:t>要求</w:t>
      </w:r>
    </w:p>
    <w:p w14:paraId="53E53AA7">
      <w:pPr>
        <w:ind w:firstLine="482" w:firstLineChars="200"/>
        <w:rPr>
          <w:rFonts w:hint="eastAsia"/>
          <w:b w:val="0"/>
          <w:bCs w:val="0"/>
          <w:color w:val="auto"/>
          <w:highlight w:val="none"/>
        </w:rPr>
      </w:pPr>
      <w:r>
        <w:rPr>
          <w:rFonts w:hint="eastAsia"/>
          <w:b/>
          <w:bCs/>
          <w:color w:val="auto"/>
          <w:highlight w:val="none"/>
          <w:lang w:val="en-US" w:eastAsia="zh-CN"/>
        </w:rPr>
        <w:t>1</w:t>
      </w:r>
      <w:r>
        <w:rPr>
          <w:rFonts w:hint="eastAsia"/>
          <w:b w:val="0"/>
          <w:bCs w:val="0"/>
          <w:color w:val="auto"/>
          <w:highlight w:val="none"/>
          <w:lang w:val="en-US" w:eastAsia="zh-CN"/>
        </w:rPr>
        <w:t xml:space="preserve">  </w:t>
      </w:r>
      <w:r>
        <w:rPr>
          <w:rFonts w:hint="eastAsia"/>
          <w:b w:val="0"/>
          <w:bCs w:val="0"/>
          <w:color w:val="auto"/>
          <w:highlight w:val="none"/>
        </w:rPr>
        <w:t>支承系统：应对</w:t>
      </w:r>
      <w:r>
        <w:rPr>
          <w:rFonts w:hint="eastAsia"/>
          <w:b w:val="0"/>
          <w:bCs w:val="0"/>
          <w:color w:val="auto"/>
          <w:highlight w:val="none"/>
          <w:lang w:val="en-US" w:eastAsia="zh-CN"/>
        </w:rPr>
        <w:t>支点、承力转换机构和支承立柱</w:t>
      </w:r>
      <w:r>
        <w:rPr>
          <w:rFonts w:hint="eastAsia"/>
          <w:b w:val="0"/>
          <w:bCs w:val="0"/>
          <w:color w:val="auto"/>
          <w:highlight w:val="none"/>
        </w:rPr>
        <w:t>进行单元组拼，检验挂爪与爪靴的咬合间隙、导向面直线度、销轴孔同轴度；完成挂爪配重翻转试验，确保翻转灵活、锁止可靠。</w:t>
      </w:r>
    </w:p>
    <w:p w14:paraId="1234F6FF">
      <w:pPr>
        <w:ind w:firstLine="482" w:firstLineChars="200"/>
        <w:rPr>
          <w:rFonts w:hint="eastAsia"/>
          <w:b w:val="0"/>
          <w:bCs w:val="0"/>
          <w:color w:val="auto"/>
          <w:highlight w:val="none"/>
        </w:rPr>
      </w:pPr>
      <w:r>
        <w:rPr>
          <w:rFonts w:hint="eastAsia"/>
          <w:b/>
          <w:bCs/>
          <w:color w:val="auto"/>
          <w:highlight w:val="none"/>
          <w:lang w:val="en-US" w:eastAsia="zh-CN"/>
        </w:rPr>
        <w:t>2</w:t>
      </w:r>
      <w:r>
        <w:rPr>
          <w:rFonts w:hint="eastAsia"/>
          <w:b w:val="0"/>
          <w:bCs w:val="0"/>
          <w:color w:val="auto"/>
          <w:highlight w:val="none"/>
          <w:lang w:val="en-US" w:eastAsia="zh-CN"/>
        </w:rPr>
        <w:t xml:space="preserve">  钢平台系统</w:t>
      </w:r>
      <w:r>
        <w:rPr>
          <w:rFonts w:hint="eastAsia"/>
          <w:b w:val="0"/>
          <w:bCs w:val="0"/>
          <w:color w:val="auto"/>
          <w:highlight w:val="none"/>
        </w:rPr>
        <w:t>：应对标准桁架节、连接节点件进行分段预拼，核查构件几何尺寸、螺栓孔位偏差、对接端面平整度；贝雷架构件应逐片检验阴阳头配合精度与贝雷销孔同轴度。</w:t>
      </w:r>
    </w:p>
    <w:p w14:paraId="175D0B6F">
      <w:pPr>
        <w:ind w:firstLine="482" w:firstLineChars="200"/>
        <w:rPr>
          <w:rFonts w:hint="eastAsia"/>
          <w:b w:val="0"/>
          <w:bCs w:val="0"/>
          <w:color w:val="auto"/>
          <w:highlight w:val="none"/>
        </w:rPr>
      </w:pPr>
      <w:r>
        <w:rPr>
          <w:rFonts w:hint="eastAsia"/>
          <w:b/>
          <w:bCs/>
          <w:color w:val="auto"/>
          <w:highlight w:val="none"/>
          <w:lang w:val="en-US" w:eastAsia="zh-CN"/>
        </w:rPr>
        <w:t>3</w:t>
      </w:r>
      <w:r>
        <w:rPr>
          <w:rFonts w:hint="eastAsia"/>
          <w:b w:val="0"/>
          <w:bCs w:val="0"/>
          <w:color w:val="auto"/>
          <w:highlight w:val="none"/>
          <w:lang w:val="en-US" w:eastAsia="zh-CN"/>
        </w:rPr>
        <w:t xml:space="preserve">  动力系统</w:t>
      </w:r>
      <w:r>
        <w:rPr>
          <w:rFonts w:hint="eastAsia"/>
          <w:b w:val="0"/>
          <w:bCs w:val="0"/>
          <w:color w:val="auto"/>
          <w:highlight w:val="none"/>
        </w:rPr>
        <w:t>：应对泵站、阀组、油缸进行集成调试预拼，检验管路连接密封性、阀件动作响应性、单缸运行平稳性。</w:t>
      </w:r>
    </w:p>
    <w:p w14:paraId="21EA9AC4">
      <w:pPr>
        <w:ind w:firstLine="482" w:firstLineChars="200"/>
        <w:rPr>
          <w:rFonts w:hint="eastAsia"/>
          <w:b w:val="0"/>
          <w:bCs w:val="0"/>
          <w:color w:val="auto"/>
          <w:highlight w:val="none"/>
        </w:rPr>
      </w:pPr>
      <w:r>
        <w:rPr>
          <w:rFonts w:hint="eastAsia"/>
          <w:b/>
          <w:bCs/>
          <w:color w:val="auto"/>
          <w:highlight w:val="none"/>
          <w:lang w:val="en-US" w:eastAsia="zh-CN"/>
        </w:rPr>
        <w:t>4</w:t>
      </w:r>
      <w:r>
        <w:rPr>
          <w:rFonts w:hint="eastAsia"/>
          <w:b w:val="0"/>
          <w:bCs w:val="0"/>
          <w:color w:val="auto"/>
          <w:highlight w:val="none"/>
          <w:lang w:val="en-US" w:eastAsia="zh-CN"/>
        </w:rPr>
        <w:t xml:space="preserve">  挂架系统</w:t>
      </w:r>
      <w:r>
        <w:rPr>
          <w:rFonts w:hint="eastAsia"/>
          <w:b w:val="0"/>
          <w:bCs w:val="0"/>
          <w:color w:val="auto"/>
          <w:highlight w:val="none"/>
        </w:rPr>
        <w:t>与模板</w:t>
      </w:r>
      <w:r>
        <w:rPr>
          <w:rFonts w:hint="eastAsia"/>
          <w:b w:val="0"/>
          <w:bCs w:val="0"/>
          <w:color w:val="auto"/>
          <w:highlight w:val="none"/>
          <w:lang w:val="en-US" w:eastAsia="zh-CN"/>
        </w:rPr>
        <w:t>系统</w:t>
      </w:r>
      <w:r>
        <w:rPr>
          <w:rFonts w:hint="eastAsia"/>
          <w:b w:val="0"/>
          <w:bCs w:val="0"/>
          <w:color w:val="auto"/>
          <w:highlight w:val="none"/>
        </w:rPr>
        <w:t>：应按标准开间进行单元预拼，检验</w:t>
      </w:r>
      <w:r>
        <w:rPr>
          <w:rFonts w:hint="eastAsia"/>
          <w:b w:val="0"/>
          <w:bCs w:val="0"/>
          <w:color w:val="auto"/>
          <w:highlight w:val="none"/>
          <w:lang w:val="en-US" w:eastAsia="zh-CN"/>
        </w:rPr>
        <w:t>吊具</w:t>
      </w:r>
      <w:r>
        <w:rPr>
          <w:rFonts w:hint="eastAsia"/>
          <w:b w:val="0"/>
          <w:bCs w:val="0"/>
          <w:color w:val="auto"/>
          <w:highlight w:val="none"/>
        </w:rPr>
        <w:t>与</w:t>
      </w:r>
      <w:r>
        <w:rPr>
          <w:rFonts w:hint="eastAsia"/>
          <w:b w:val="0"/>
          <w:bCs w:val="0"/>
          <w:color w:val="auto"/>
          <w:highlight w:val="none"/>
          <w:lang w:val="en-US" w:eastAsia="zh-CN"/>
        </w:rPr>
        <w:t>模板等配合机构</w:t>
      </w:r>
      <w:r>
        <w:rPr>
          <w:rFonts w:hint="eastAsia"/>
          <w:b w:val="0"/>
          <w:bCs w:val="0"/>
          <w:color w:val="auto"/>
          <w:highlight w:val="none"/>
        </w:rPr>
        <w:t>配合间隙、杆件节点连接可靠性、翻板与调节机构灵活性。</w:t>
      </w:r>
    </w:p>
    <w:p w14:paraId="2EF43CE1">
      <w:pPr>
        <w:rPr>
          <w:rFonts w:hint="eastAsia"/>
          <w:color w:val="auto"/>
          <w:highlight w:val="none"/>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2</w:t>
      </w:r>
      <w:r>
        <w:rPr>
          <w:rFonts w:hint="default" w:ascii="Times New Roman" w:hAnsi="Times New Roman" w:eastAsia="宋体" w:cs="Times New Roman"/>
          <w:b/>
          <w:bCs/>
          <w:color w:val="auto"/>
          <w:kern w:val="0"/>
          <w:sz w:val="24"/>
          <w:szCs w:val="24"/>
          <w:highlight w:val="none"/>
          <w:lang w:val="en-US" w:eastAsia="zh-CN" w:bidi="ar"/>
        </w:rPr>
        <w:t>.</w:t>
      </w:r>
      <w:r>
        <w:rPr>
          <w:rFonts w:hint="eastAsia"/>
          <w:b/>
          <w:bCs/>
          <w:color w:val="auto"/>
          <w:highlight w:val="none"/>
          <w:lang w:val="en-US" w:eastAsia="zh-CN"/>
        </w:rPr>
        <w:t>3</w:t>
      </w:r>
      <w:r>
        <w:rPr>
          <w:rFonts w:hint="eastAsia"/>
          <w:color w:val="auto"/>
          <w:highlight w:val="none"/>
          <w:lang w:val="en-US" w:eastAsia="zh-CN"/>
        </w:rPr>
        <w:t xml:space="preserve"> </w:t>
      </w:r>
      <w:r>
        <w:rPr>
          <w:rFonts w:hint="eastAsia"/>
          <w:color w:val="auto"/>
          <w:highlight w:val="none"/>
        </w:rPr>
        <w:t xml:space="preserve"> 接口检查</w:t>
      </w:r>
    </w:p>
    <w:p w14:paraId="01347C51">
      <w:pPr>
        <w:ind w:firstLine="482" w:firstLineChars="200"/>
        <w:rPr>
          <w:rFonts w:hint="eastAsia"/>
          <w:color w:val="auto"/>
          <w:highlight w:val="none"/>
          <w:lang w:eastAsia="zh-CN"/>
        </w:rPr>
      </w:pPr>
      <w:r>
        <w:rPr>
          <w:rFonts w:hint="eastAsia"/>
          <w:b/>
          <w:bCs/>
          <w:color w:val="auto"/>
          <w:highlight w:val="none"/>
          <w:lang w:val="en-US" w:eastAsia="zh-CN"/>
        </w:rPr>
        <w:t xml:space="preserve">1  </w:t>
      </w:r>
      <w:r>
        <w:rPr>
          <w:rFonts w:hint="eastAsia"/>
          <w:color w:val="auto"/>
          <w:highlight w:val="none"/>
        </w:rPr>
        <w:t>机械接口</w:t>
      </w:r>
      <w:r>
        <w:rPr>
          <w:rFonts w:hint="eastAsia"/>
          <w:color w:val="auto"/>
          <w:highlight w:val="none"/>
          <w:lang w:eastAsia="zh-CN"/>
        </w:rPr>
        <w:t>。</w:t>
      </w:r>
    </w:p>
    <w:p w14:paraId="4CB53514">
      <w:pPr>
        <w:ind w:firstLine="480" w:firstLineChars="200"/>
        <w:rPr>
          <w:rFonts w:hint="eastAsia"/>
          <w:color w:val="auto"/>
          <w:highlight w:val="none"/>
        </w:rPr>
      </w:pPr>
      <w:r>
        <w:rPr>
          <w:rFonts w:hint="eastAsia"/>
          <w:color w:val="auto"/>
          <w:highlight w:val="none"/>
        </w:rPr>
        <w:t>各接口的对口错边量、端面间隙及错位等满足设计要求；其允许偏差应符合现行国家标准《钢结构工程施工质量验收标准》GB 50205 的相关规定。高强度螺栓连接副的孔位偏差应符合《钢结构用高强度大六角头螺栓连接副》GB/T 1231和《钢结构高强度螺栓连接技术规程》JGJ 82的相关规定，应进行螺栓孔通过率检查，当采用比孔公称直径小1.0mm的试孔器检查时，每组孔的通过率不应小于85%</w:t>
      </w:r>
      <w:r>
        <w:rPr>
          <w:rFonts w:hint="eastAsia"/>
          <w:color w:val="auto"/>
          <w:highlight w:val="none"/>
          <w:lang w:eastAsia="zh-CN"/>
        </w:rPr>
        <w:t>；</w:t>
      </w:r>
      <w:r>
        <w:rPr>
          <w:rFonts w:hint="eastAsia"/>
          <w:color w:val="auto"/>
          <w:highlight w:val="none"/>
        </w:rPr>
        <w:t>当采用比螺栓公称直径大0.3mm的试孔器检查时，通过率应为100%。销轴连接应穿装顺畅，无卡滞、无偏磨。</w:t>
      </w:r>
    </w:p>
    <w:p w14:paraId="26EA4F5B">
      <w:pPr>
        <w:ind w:firstLine="482" w:firstLineChars="200"/>
        <w:rPr>
          <w:rFonts w:hint="eastAsia"/>
          <w:color w:val="auto"/>
          <w:highlight w:val="none"/>
          <w:lang w:eastAsia="zh-CN"/>
        </w:rPr>
      </w:pPr>
      <w:r>
        <w:rPr>
          <w:rFonts w:hint="eastAsia"/>
          <w:b/>
          <w:bCs/>
          <w:color w:val="auto"/>
          <w:highlight w:val="none"/>
          <w:lang w:val="en-US" w:eastAsia="zh-CN"/>
        </w:rPr>
        <w:t xml:space="preserve">2  </w:t>
      </w:r>
      <w:r>
        <w:rPr>
          <w:rFonts w:hint="eastAsia"/>
          <w:color w:val="auto"/>
          <w:highlight w:val="none"/>
        </w:rPr>
        <w:t>液压接口</w:t>
      </w:r>
      <w:r>
        <w:rPr>
          <w:rFonts w:hint="eastAsia"/>
          <w:color w:val="auto"/>
          <w:highlight w:val="none"/>
          <w:lang w:eastAsia="zh-CN"/>
        </w:rPr>
        <w:t>。</w:t>
      </w:r>
    </w:p>
    <w:p w14:paraId="694D54CC">
      <w:pPr>
        <w:ind w:firstLine="480" w:firstLineChars="200"/>
        <w:rPr>
          <w:rFonts w:hint="eastAsia"/>
          <w:color w:val="auto"/>
          <w:highlight w:val="none"/>
          <w:lang w:eastAsia="zh-CN"/>
        </w:rPr>
      </w:pPr>
      <w:r>
        <w:rPr>
          <w:rFonts w:hint="eastAsia"/>
          <w:color w:val="auto"/>
          <w:highlight w:val="none"/>
        </w:rPr>
        <w:t>管路接头型号匹配、密封件完好，连接后无渗漏隐患；接口端盖防护到位，无异物进入油路风险。</w:t>
      </w:r>
    </w:p>
    <w:p w14:paraId="37970C76">
      <w:pPr>
        <w:ind w:firstLine="482" w:firstLineChars="200"/>
        <w:rPr>
          <w:rFonts w:hint="eastAsia"/>
          <w:color w:val="auto"/>
          <w:highlight w:val="none"/>
          <w:lang w:val="en-US" w:eastAsia="zh-CN"/>
        </w:rPr>
      </w:pPr>
      <w:r>
        <w:rPr>
          <w:rFonts w:hint="eastAsia"/>
          <w:b/>
          <w:bCs/>
          <w:color w:val="auto"/>
          <w:highlight w:val="none"/>
          <w:lang w:val="en-US" w:eastAsia="zh-CN"/>
        </w:rPr>
        <w:t xml:space="preserve">3  </w:t>
      </w:r>
      <w:r>
        <w:rPr>
          <w:rFonts w:hint="eastAsia"/>
          <w:color w:val="auto"/>
          <w:highlight w:val="none"/>
        </w:rPr>
        <w:t>电气接口</w:t>
      </w:r>
      <w:r>
        <w:rPr>
          <w:rFonts w:hint="eastAsia"/>
          <w:color w:val="auto"/>
          <w:highlight w:val="none"/>
          <w:lang w:val="en-US" w:eastAsia="zh-CN"/>
        </w:rPr>
        <w:t>。</w:t>
      </w:r>
    </w:p>
    <w:p w14:paraId="744785FB">
      <w:pPr>
        <w:ind w:firstLine="480" w:firstLineChars="200"/>
        <w:rPr>
          <w:rFonts w:hint="eastAsia"/>
          <w:color w:val="auto"/>
          <w:highlight w:val="none"/>
        </w:rPr>
      </w:pPr>
      <w:r>
        <w:rPr>
          <w:rFonts w:hint="eastAsia"/>
          <w:color w:val="auto"/>
          <w:highlight w:val="none"/>
        </w:rPr>
        <w:t>接插件型号一致、接线端子压接牢固，外露部件防护等级符合IP54要求。</w:t>
      </w:r>
    </w:p>
    <w:p w14:paraId="4FB49D3C">
      <w:pPr>
        <w:rPr>
          <w:rFonts w:hint="eastAsia"/>
          <w:color w:val="auto"/>
          <w:highlight w:val="none"/>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2</w:t>
      </w:r>
      <w:r>
        <w:rPr>
          <w:rFonts w:hint="default" w:ascii="Times New Roman" w:hAnsi="Times New Roman" w:eastAsia="宋体" w:cs="Times New Roman"/>
          <w:b/>
          <w:bCs/>
          <w:color w:val="auto"/>
          <w:kern w:val="0"/>
          <w:sz w:val="24"/>
          <w:szCs w:val="24"/>
          <w:highlight w:val="none"/>
          <w:lang w:val="en-US" w:eastAsia="zh-CN" w:bidi="ar"/>
        </w:rPr>
        <w:t>.</w:t>
      </w:r>
      <w:r>
        <w:rPr>
          <w:rFonts w:hint="eastAsia"/>
          <w:b/>
          <w:bCs/>
          <w:color w:val="auto"/>
          <w:highlight w:val="none"/>
          <w:lang w:val="en-US" w:eastAsia="zh-CN"/>
        </w:rPr>
        <w:t>4</w:t>
      </w:r>
      <w:r>
        <w:rPr>
          <w:rFonts w:hint="eastAsia"/>
          <w:b/>
          <w:bCs/>
          <w:color w:val="auto"/>
          <w:highlight w:val="none"/>
        </w:rPr>
        <w:t xml:space="preserve"> </w:t>
      </w:r>
      <w:r>
        <w:rPr>
          <w:rFonts w:hint="eastAsia"/>
          <w:color w:val="auto"/>
          <w:highlight w:val="none"/>
          <w:lang w:val="en-US" w:eastAsia="zh-CN"/>
        </w:rPr>
        <w:t xml:space="preserve"> </w:t>
      </w:r>
      <w:r>
        <w:rPr>
          <w:rFonts w:hint="eastAsia"/>
          <w:color w:val="auto"/>
          <w:highlight w:val="none"/>
        </w:rPr>
        <w:t>干涉检查</w:t>
      </w:r>
    </w:p>
    <w:p w14:paraId="38744745">
      <w:pPr>
        <w:ind w:firstLine="482" w:firstLineChars="200"/>
        <w:rPr>
          <w:rFonts w:hint="eastAsia"/>
          <w:color w:val="auto"/>
          <w:highlight w:val="none"/>
        </w:rPr>
      </w:pPr>
      <w:r>
        <w:rPr>
          <w:rFonts w:hint="eastAsia"/>
          <w:b/>
          <w:bCs/>
          <w:color w:val="auto"/>
          <w:highlight w:val="none"/>
          <w:lang w:val="en-US" w:eastAsia="zh-CN"/>
        </w:rPr>
        <w:t>1</w:t>
      </w:r>
      <w:r>
        <w:rPr>
          <w:rFonts w:hint="eastAsia"/>
          <w:color w:val="auto"/>
          <w:highlight w:val="none"/>
          <w:lang w:val="en-US" w:eastAsia="zh-CN"/>
        </w:rPr>
        <w:t xml:space="preserve">  </w:t>
      </w:r>
      <w:r>
        <w:rPr>
          <w:rFonts w:hint="eastAsia"/>
          <w:color w:val="auto"/>
          <w:highlight w:val="none"/>
        </w:rPr>
        <w:t>预拼装阶段应通过实体试装或三维扫描比对，对构件、管路、线缆的空间位置进行全路径干涉检查。</w:t>
      </w:r>
    </w:p>
    <w:p w14:paraId="2879367A">
      <w:pPr>
        <w:ind w:firstLine="482" w:firstLineChars="200"/>
        <w:rPr>
          <w:rFonts w:hint="eastAsia"/>
          <w:color w:val="auto"/>
          <w:highlight w:val="none"/>
        </w:rPr>
      </w:pPr>
      <w:r>
        <w:rPr>
          <w:rFonts w:hint="eastAsia"/>
          <w:b/>
          <w:bCs/>
          <w:color w:val="auto"/>
          <w:highlight w:val="none"/>
          <w:lang w:val="en-US" w:eastAsia="zh-CN"/>
        </w:rPr>
        <w:t>2</w:t>
      </w:r>
      <w:r>
        <w:rPr>
          <w:rFonts w:hint="eastAsia"/>
          <w:color w:val="auto"/>
          <w:highlight w:val="none"/>
          <w:lang w:val="en-US" w:eastAsia="zh-CN"/>
        </w:rPr>
        <w:t xml:space="preserve">  </w:t>
      </w:r>
      <w:r>
        <w:rPr>
          <w:rFonts w:hint="eastAsia"/>
          <w:color w:val="auto"/>
          <w:highlight w:val="none"/>
        </w:rPr>
        <w:t>重点核查</w:t>
      </w:r>
      <w:r>
        <w:rPr>
          <w:rFonts w:hint="eastAsia"/>
          <w:color w:val="auto"/>
          <w:highlight w:val="none"/>
          <w:lang w:val="en-US" w:eastAsia="zh-CN"/>
        </w:rPr>
        <w:t>爬升</w:t>
      </w:r>
      <w:r>
        <w:rPr>
          <w:rFonts w:hint="eastAsia"/>
          <w:color w:val="auto"/>
          <w:highlight w:val="none"/>
        </w:rPr>
        <w:t>运动路径、</w:t>
      </w:r>
      <w:r>
        <w:rPr>
          <w:rFonts w:hint="eastAsia"/>
          <w:color w:val="auto"/>
          <w:highlight w:val="none"/>
          <w:lang w:val="en-US" w:eastAsia="zh-CN"/>
        </w:rPr>
        <w:t>挂</w:t>
      </w:r>
      <w:r>
        <w:rPr>
          <w:rFonts w:hint="eastAsia"/>
          <w:color w:val="auto"/>
          <w:highlight w:val="none"/>
        </w:rPr>
        <w:t>架滑移路径、模板调节路径上的障碍物，确保</w:t>
      </w:r>
      <w:r>
        <w:rPr>
          <w:rFonts w:hint="eastAsia"/>
          <w:color w:val="auto"/>
          <w:highlight w:val="none"/>
          <w:lang w:val="en-US" w:eastAsia="zh-CN"/>
        </w:rPr>
        <w:t>爬升</w:t>
      </w:r>
      <w:r>
        <w:rPr>
          <w:rFonts w:hint="eastAsia"/>
          <w:color w:val="auto"/>
          <w:highlight w:val="none"/>
        </w:rPr>
        <w:t>、滑移、调节等动作全程无刚性干涉；</w:t>
      </w:r>
    </w:p>
    <w:p w14:paraId="0BBE6964">
      <w:pPr>
        <w:ind w:firstLine="482" w:firstLineChars="200"/>
        <w:rPr>
          <w:rFonts w:hint="eastAsia"/>
          <w:color w:val="auto"/>
          <w:highlight w:val="none"/>
        </w:rPr>
      </w:pPr>
      <w:r>
        <w:rPr>
          <w:rFonts w:hint="eastAsia"/>
          <w:b/>
          <w:bCs/>
          <w:color w:val="auto"/>
          <w:highlight w:val="none"/>
          <w:lang w:val="en-US" w:eastAsia="zh-CN"/>
        </w:rPr>
        <w:t>3</w:t>
      </w:r>
      <w:r>
        <w:rPr>
          <w:rFonts w:hint="eastAsia"/>
          <w:color w:val="auto"/>
          <w:highlight w:val="none"/>
          <w:lang w:val="en-US" w:eastAsia="zh-CN"/>
        </w:rPr>
        <w:t xml:space="preserve">  </w:t>
      </w:r>
      <w:r>
        <w:rPr>
          <w:rFonts w:hint="eastAsia"/>
          <w:color w:val="auto"/>
          <w:highlight w:val="none"/>
        </w:rPr>
        <w:t>核查管线排布与结构构件的间距，避免运行中出现磨损、拉扯现象。</w:t>
      </w:r>
    </w:p>
    <w:p w14:paraId="7A4AA6C5">
      <w:pPr>
        <w:rPr>
          <w:rFonts w:hint="eastAsia"/>
          <w:color w:val="auto"/>
          <w:highlight w:val="none"/>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2</w:t>
      </w:r>
      <w:r>
        <w:rPr>
          <w:rFonts w:hint="default" w:ascii="Times New Roman" w:hAnsi="Times New Roman" w:eastAsia="宋体" w:cs="Times New Roman"/>
          <w:b/>
          <w:bCs/>
          <w:color w:val="auto"/>
          <w:kern w:val="0"/>
          <w:sz w:val="24"/>
          <w:szCs w:val="24"/>
          <w:highlight w:val="none"/>
          <w:lang w:val="en-US" w:eastAsia="zh-CN" w:bidi="ar"/>
        </w:rPr>
        <w:t>.</w:t>
      </w:r>
      <w:r>
        <w:rPr>
          <w:rFonts w:hint="eastAsia"/>
          <w:b/>
          <w:bCs/>
          <w:color w:val="auto"/>
          <w:highlight w:val="none"/>
          <w:lang w:val="en-US" w:eastAsia="zh-CN"/>
        </w:rPr>
        <w:t>5</w:t>
      </w:r>
      <w:r>
        <w:rPr>
          <w:rFonts w:hint="eastAsia"/>
          <w:color w:val="auto"/>
          <w:highlight w:val="none"/>
          <w:lang w:val="en-US" w:eastAsia="zh-CN"/>
        </w:rPr>
        <w:t xml:space="preserve"> </w:t>
      </w:r>
      <w:r>
        <w:rPr>
          <w:rFonts w:hint="eastAsia"/>
          <w:color w:val="auto"/>
          <w:highlight w:val="none"/>
        </w:rPr>
        <w:t xml:space="preserve"> 不合格项处理</w:t>
      </w:r>
    </w:p>
    <w:p w14:paraId="03A0FE92">
      <w:pPr>
        <w:ind w:firstLine="482" w:firstLineChars="200"/>
        <w:rPr>
          <w:rFonts w:hint="eastAsia"/>
          <w:color w:val="auto"/>
          <w:highlight w:val="none"/>
        </w:rPr>
      </w:pPr>
      <w:r>
        <w:rPr>
          <w:rFonts w:hint="eastAsia"/>
          <w:b/>
          <w:bCs/>
          <w:color w:val="auto"/>
          <w:highlight w:val="none"/>
          <w:lang w:val="en-US" w:eastAsia="zh-CN"/>
        </w:rPr>
        <w:t>1</w:t>
      </w:r>
      <w:r>
        <w:rPr>
          <w:rFonts w:hint="eastAsia"/>
          <w:color w:val="auto"/>
          <w:highlight w:val="none"/>
          <w:lang w:val="en-US" w:eastAsia="zh-CN"/>
        </w:rPr>
        <w:t xml:space="preserve">  </w:t>
      </w:r>
      <w:r>
        <w:rPr>
          <w:rFonts w:hint="eastAsia"/>
          <w:color w:val="auto"/>
          <w:highlight w:val="none"/>
        </w:rPr>
        <w:t>建立不合格项台账，明确问题描述、责任单位、整改时限</w:t>
      </w:r>
      <w:r>
        <w:rPr>
          <w:rFonts w:hint="eastAsia"/>
          <w:color w:val="auto"/>
          <w:highlight w:val="none"/>
          <w:lang w:eastAsia="zh-CN"/>
        </w:rPr>
        <w:t>，</w:t>
      </w:r>
      <w:r>
        <w:rPr>
          <w:rFonts w:hint="eastAsia"/>
          <w:color w:val="auto"/>
          <w:highlight w:val="none"/>
          <w:lang w:val="en-US" w:eastAsia="zh-CN"/>
        </w:rPr>
        <w:t>做到</w:t>
      </w:r>
      <w:r>
        <w:rPr>
          <w:rFonts w:hint="eastAsia"/>
          <w:color w:val="auto"/>
          <w:highlight w:val="none"/>
        </w:rPr>
        <w:t>闭环管理。</w:t>
      </w:r>
    </w:p>
    <w:p w14:paraId="0A540BF9">
      <w:pPr>
        <w:ind w:firstLine="482" w:firstLineChars="200"/>
        <w:rPr>
          <w:rFonts w:hint="eastAsia"/>
          <w:color w:val="auto"/>
          <w:highlight w:val="none"/>
        </w:rPr>
      </w:pPr>
      <w:r>
        <w:rPr>
          <w:rFonts w:hint="eastAsia"/>
          <w:b/>
          <w:bCs/>
          <w:color w:val="auto"/>
          <w:highlight w:val="none"/>
          <w:lang w:val="en-US" w:eastAsia="zh-CN"/>
        </w:rPr>
        <w:t>2</w:t>
      </w:r>
      <w:r>
        <w:rPr>
          <w:rFonts w:hint="eastAsia"/>
          <w:color w:val="auto"/>
          <w:highlight w:val="none"/>
          <w:lang w:val="en-US" w:eastAsia="zh-CN"/>
        </w:rPr>
        <w:t xml:space="preserve">  </w:t>
      </w:r>
      <w:r>
        <w:rPr>
          <w:rFonts w:hint="eastAsia"/>
          <w:color w:val="auto"/>
          <w:highlight w:val="none"/>
        </w:rPr>
        <w:t>对不合格构件，应予以返工或报废更换，严禁不合格构件流入下道工序。</w:t>
      </w:r>
    </w:p>
    <w:p w14:paraId="13D011D1">
      <w:pPr>
        <w:ind w:firstLine="482" w:firstLineChars="200"/>
        <w:rPr>
          <w:rFonts w:hint="eastAsia"/>
          <w:color w:val="auto"/>
        </w:rPr>
      </w:pPr>
      <w:r>
        <w:rPr>
          <w:rFonts w:hint="eastAsia"/>
          <w:b/>
          <w:bCs/>
          <w:color w:val="auto"/>
          <w:highlight w:val="none"/>
          <w:lang w:val="en-US" w:eastAsia="zh-CN"/>
        </w:rPr>
        <w:t>3</w:t>
      </w:r>
      <w:r>
        <w:rPr>
          <w:rFonts w:hint="eastAsia"/>
          <w:color w:val="auto"/>
          <w:highlight w:val="none"/>
          <w:lang w:val="en-US" w:eastAsia="zh-CN"/>
        </w:rPr>
        <w:t xml:space="preserve">  </w:t>
      </w:r>
      <w:r>
        <w:rPr>
          <w:rFonts w:hint="eastAsia"/>
          <w:color w:val="auto"/>
          <w:highlight w:val="none"/>
        </w:rPr>
        <w:t>所有不合格项整改完成后，应重新组织预拼装复验，合格后方可转入出厂检验环节。</w:t>
      </w:r>
    </w:p>
    <w:p w14:paraId="09512622">
      <w:pPr>
        <w:pStyle w:val="3"/>
        <w:bidi w:val="0"/>
        <w:rPr>
          <w:rFonts w:hint="eastAsia" w:cs="Times New Roman"/>
          <w:b/>
          <w:bCs/>
          <w:color w:val="auto"/>
          <w:kern w:val="0"/>
          <w:sz w:val="24"/>
          <w:szCs w:val="24"/>
          <w:highlight w:val="none"/>
          <w:lang w:val="en-US" w:eastAsia="zh-CN" w:bidi="ar"/>
        </w:rPr>
      </w:pPr>
      <w:bookmarkStart w:id="165" w:name="_Toc31921"/>
      <w:r>
        <w:rPr>
          <w:rFonts w:hint="eastAsia"/>
          <w:color w:val="000000" w:themeColor="text1"/>
          <w:lang w:val="en-US" w:eastAsia="zh-CN"/>
          <w14:textFill>
            <w14:solidFill>
              <w14:schemeClr w14:val="tx1"/>
            </w14:solidFill>
          </w14:textFill>
        </w:rPr>
        <w:t>7</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出厂检验</w:t>
      </w:r>
      <w:bookmarkEnd w:id="165"/>
    </w:p>
    <w:p w14:paraId="1DAA42A0">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3</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default" w:ascii="Times New Roman" w:hAnsi="Times New Roman" w:eastAsia="宋体" w:cs="Times New Roman"/>
          <w:b/>
          <w:bCs/>
          <w:color w:val="auto"/>
          <w:kern w:val="0"/>
          <w:sz w:val="24"/>
          <w:szCs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一般规定</w:t>
      </w:r>
    </w:p>
    <w:p w14:paraId="4536528C">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b/>
          <w:bCs/>
          <w:color w:val="auto"/>
          <w:highlight w:val="none"/>
          <w:lang w:val="en-US" w:eastAsia="zh-CN"/>
        </w:rPr>
        <w:t xml:space="preserve">1  </w:t>
      </w:r>
      <w:r>
        <w:rPr>
          <w:rFonts w:hint="eastAsia" w:cs="Times New Roman"/>
          <w:color w:val="auto"/>
          <w:kern w:val="0"/>
          <w:sz w:val="24"/>
          <w:highlight w:val="none"/>
          <w:lang w:val="en-US" w:eastAsia="zh-CN" w:bidi="ar"/>
        </w:rPr>
        <w:t>集成平台</w:t>
      </w:r>
      <w:r>
        <w:rPr>
          <w:rFonts w:hint="default" w:ascii="Times New Roman" w:hAnsi="Times New Roman" w:eastAsia="宋体" w:cs="Times New Roman"/>
          <w:color w:val="auto"/>
          <w:kern w:val="0"/>
          <w:sz w:val="24"/>
          <w:highlight w:val="none"/>
          <w:lang w:val="en-US" w:eastAsia="zh-CN" w:bidi="ar"/>
        </w:rPr>
        <w:t>各系统出厂前，应由制造单位质量管理部门按本指南及相关标准开展出厂检验。检验合格并出具出厂合格证、检验报告及随行技术文件后，方可发运出厂。</w:t>
      </w:r>
    </w:p>
    <w:p w14:paraId="3079F09D">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b/>
          <w:bCs/>
          <w:color w:val="auto"/>
          <w:highlight w:val="none"/>
          <w:lang w:val="en-US" w:eastAsia="zh-CN"/>
        </w:rPr>
        <w:t xml:space="preserve">2  </w:t>
      </w:r>
      <w:r>
        <w:rPr>
          <w:rFonts w:hint="default" w:ascii="Times New Roman" w:hAnsi="Times New Roman" w:eastAsia="宋体" w:cs="Times New Roman"/>
          <w:color w:val="auto"/>
          <w:kern w:val="0"/>
          <w:sz w:val="24"/>
          <w:highlight w:val="none"/>
          <w:lang w:val="en-US" w:eastAsia="zh-CN" w:bidi="ar"/>
        </w:rPr>
        <w:t>计量器具应在检定有效期内，测量精度满足被检参数要求。</w:t>
      </w:r>
    </w:p>
    <w:p w14:paraId="00B468B5">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3</w:t>
      </w:r>
      <w:r>
        <w:rPr>
          <w:rFonts w:hint="eastAsia" w:cs="Times New Roman"/>
          <w:b/>
          <w:bCs/>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 xml:space="preserve">制作应符合现行国家标准《钢结构工程施工质量验收标准》GB50205 、《钢结构焊接规范》GB 50661 </w:t>
      </w:r>
      <w:r>
        <w:rPr>
          <w:rFonts w:hint="eastAsia" w:ascii="Times New Roman" w:hAnsi="Times New Roman" w:eastAsia="宋体" w:cs="Times New Roman"/>
          <w:color w:val="auto"/>
          <w:kern w:val="0"/>
          <w:sz w:val="24"/>
          <w:highlight w:val="none"/>
          <w:lang w:val="en-US" w:eastAsia="zh-CN" w:bidi="ar"/>
        </w:rPr>
        <w:t>、</w:t>
      </w:r>
      <w:r>
        <w:rPr>
          <w:rFonts w:hint="default" w:ascii="Times New Roman" w:hAnsi="Times New Roman" w:eastAsia="宋体" w:cs="Times New Roman"/>
          <w:color w:val="auto"/>
          <w:kern w:val="0"/>
          <w:sz w:val="24"/>
          <w:highlight w:val="none"/>
          <w:lang w:val="en-US" w:eastAsia="zh-CN" w:bidi="ar"/>
        </w:rPr>
        <w:t>《液压缸试验方法》GB/T 15622的相关规定。铝构件的制作应符合现行国家标准《铝合金结构工程施工质量验收规范》GB 50576的相关规定。</w:t>
      </w:r>
    </w:p>
    <w:p w14:paraId="6CB4C76A">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4</w:t>
      </w:r>
      <w:r>
        <w:rPr>
          <w:rFonts w:hint="eastAsia" w:cs="Times New Roman"/>
          <w:b/>
          <w:bCs/>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应在加工厂内进行挂爪与挂爪配重翻转试验；</w:t>
      </w:r>
    </w:p>
    <w:p w14:paraId="1DEFFE83">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5</w:t>
      </w:r>
      <w:r>
        <w:rPr>
          <w:rFonts w:hint="eastAsia" w:cs="Times New Roman"/>
          <w:b/>
          <w:bCs/>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应在加工厂内对承力件、支承架和转接框架进行装配试验</w:t>
      </w:r>
      <w:r>
        <w:rPr>
          <w:rFonts w:hint="eastAsia" w:cs="Times New Roman"/>
          <w:color w:val="auto"/>
          <w:kern w:val="0"/>
          <w:sz w:val="24"/>
          <w:highlight w:val="none"/>
          <w:lang w:val="en-US" w:eastAsia="zh-CN" w:bidi="ar"/>
        </w:rPr>
        <w:t>。</w:t>
      </w:r>
    </w:p>
    <w:p w14:paraId="0EE7DD0C">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3</w:t>
      </w:r>
      <w:r>
        <w:rPr>
          <w:rFonts w:hint="default" w:ascii="Times New Roman" w:hAnsi="Times New Roman" w:eastAsia="宋体" w:cs="Times New Roman"/>
          <w:b/>
          <w:bCs/>
          <w:color w:val="auto"/>
          <w:kern w:val="0"/>
          <w:sz w:val="24"/>
          <w:szCs w:val="24"/>
          <w:highlight w:val="none"/>
          <w:lang w:val="en-US" w:eastAsia="zh-CN" w:bidi="ar"/>
        </w:rPr>
        <w:t>.</w:t>
      </w:r>
      <w:r>
        <w:rPr>
          <w:rFonts w:hint="eastAsia" w:ascii="Times New Roman" w:hAnsi="Times New Roman" w:eastAsia="宋体" w:cs="Times New Roman"/>
          <w:b/>
          <w:bCs/>
          <w:color w:val="auto"/>
          <w:kern w:val="0"/>
          <w:sz w:val="24"/>
          <w:highlight w:val="none"/>
          <w:lang w:val="en-US" w:eastAsia="zh-CN" w:bidi="ar"/>
        </w:rPr>
        <w:t>2</w:t>
      </w:r>
      <w:r>
        <w:rPr>
          <w:rFonts w:hint="eastAsia" w:cs="Times New Roman"/>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支承系统制作允许偏差及检验方法应符合表7.3.2的规定，检查数量：全数检查。</w:t>
      </w:r>
    </w:p>
    <w:p w14:paraId="79120659">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Arial" w:hAnsi="Arial" w:eastAsia="黑体" w:cs="Arial"/>
          <w:b w:val="0"/>
          <w:bCs w:val="0"/>
          <w:color w:val="auto"/>
          <w:spacing w:val="6"/>
          <w:sz w:val="21"/>
          <w:szCs w:val="21"/>
        </w:rPr>
        <w:t>表</w:t>
      </w:r>
      <w:r>
        <w:rPr>
          <w:rFonts w:hint="eastAsia" w:ascii="Arial" w:hAnsi="Arial" w:eastAsia="黑体" w:cs="Arial"/>
          <w:b w:val="0"/>
          <w:bCs w:val="0"/>
          <w:color w:val="auto"/>
          <w:spacing w:val="6"/>
          <w:sz w:val="21"/>
          <w:szCs w:val="21"/>
          <w:lang w:val="en-US" w:eastAsia="zh-CN"/>
        </w:rPr>
        <w:t>7.3.2</w:t>
      </w:r>
      <w:r>
        <w:rPr>
          <w:rFonts w:hint="default" w:ascii="Arial" w:hAnsi="Arial" w:eastAsia="黑体" w:cs="Arial"/>
          <w:b w:val="0"/>
          <w:bCs w:val="0"/>
          <w:color w:val="auto"/>
          <w:spacing w:val="6"/>
          <w:sz w:val="21"/>
          <w:szCs w:val="21"/>
          <w:lang w:val="en-US" w:eastAsia="zh-CN"/>
        </w:rPr>
        <w:t xml:space="preserve">  </w:t>
      </w:r>
      <w:r>
        <w:rPr>
          <w:rFonts w:hint="default" w:ascii="Arial" w:hAnsi="Arial" w:eastAsia="黑体" w:cs="Arial"/>
          <w:b w:val="0"/>
          <w:bCs w:val="0"/>
          <w:color w:val="auto"/>
          <w:spacing w:val="6"/>
          <w:sz w:val="21"/>
          <w:szCs w:val="21"/>
        </w:rPr>
        <w:t>支承系统制作允许偏差及检验方法</w:t>
      </w:r>
    </w:p>
    <w:tbl>
      <w:tblPr>
        <w:tblStyle w:val="66"/>
        <w:tblW w:w="49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0"/>
        <w:gridCol w:w="3955"/>
        <w:gridCol w:w="1518"/>
        <w:gridCol w:w="2582"/>
      </w:tblGrid>
      <w:tr w14:paraId="07C9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45545C02">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auto"/>
                <w:spacing w:val="3"/>
                <w:sz w:val="21"/>
                <w:szCs w:val="21"/>
              </w:rPr>
            </w:pPr>
            <w:r>
              <w:rPr>
                <w:rFonts w:hint="eastAsia" w:ascii="黑体" w:hAnsi="黑体" w:eastAsia="黑体" w:cs="黑体"/>
                <w:b w:val="0"/>
                <w:bCs w:val="0"/>
                <w:color w:val="auto"/>
                <w:spacing w:val="3"/>
                <w:sz w:val="21"/>
                <w:szCs w:val="21"/>
              </w:rPr>
              <w:t>项次</w:t>
            </w:r>
          </w:p>
        </w:tc>
        <w:tc>
          <w:tcPr>
            <w:tcW w:w="2212" w:type="pct"/>
            <w:vAlign w:val="center"/>
          </w:tcPr>
          <w:p w14:paraId="5CFF5230">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auto"/>
                <w:spacing w:val="3"/>
                <w:sz w:val="21"/>
                <w:szCs w:val="21"/>
              </w:rPr>
            </w:pPr>
            <w:r>
              <w:rPr>
                <w:rFonts w:hint="eastAsia" w:ascii="黑体" w:hAnsi="黑体" w:eastAsia="黑体" w:cs="黑体"/>
                <w:b w:val="0"/>
                <w:bCs w:val="0"/>
                <w:color w:val="auto"/>
                <w:spacing w:val="3"/>
                <w:sz w:val="21"/>
                <w:szCs w:val="21"/>
              </w:rPr>
              <w:t>项目</w:t>
            </w:r>
          </w:p>
        </w:tc>
        <w:tc>
          <w:tcPr>
            <w:tcW w:w="849" w:type="pct"/>
            <w:vAlign w:val="center"/>
          </w:tcPr>
          <w:p w14:paraId="0D4EB5E4">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auto"/>
                <w:spacing w:val="3"/>
                <w:sz w:val="21"/>
                <w:szCs w:val="21"/>
              </w:rPr>
            </w:pPr>
            <w:r>
              <w:rPr>
                <w:rFonts w:hint="eastAsia" w:ascii="黑体" w:hAnsi="黑体" w:eastAsia="黑体" w:cs="黑体"/>
                <w:b w:val="0"/>
                <w:bCs w:val="0"/>
                <w:color w:val="auto"/>
                <w:spacing w:val="3"/>
                <w:sz w:val="21"/>
                <w:szCs w:val="21"/>
              </w:rPr>
              <w:t>允许偏差（mm）</w:t>
            </w:r>
          </w:p>
        </w:tc>
        <w:tc>
          <w:tcPr>
            <w:tcW w:w="1444" w:type="pct"/>
            <w:vAlign w:val="center"/>
          </w:tcPr>
          <w:p w14:paraId="535194C6">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auto"/>
                <w:spacing w:val="3"/>
                <w:sz w:val="21"/>
                <w:szCs w:val="21"/>
              </w:rPr>
            </w:pPr>
            <w:r>
              <w:rPr>
                <w:rFonts w:hint="eastAsia" w:ascii="黑体" w:hAnsi="黑体" w:eastAsia="黑体" w:cs="黑体"/>
                <w:b w:val="0"/>
                <w:bCs w:val="0"/>
                <w:color w:val="auto"/>
                <w:spacing w:val="3"/>
                <w:sz w:val="21"/>
                <w:szCs w:val="21"/>
              </w:rPr>
              <w:t>检验方法</w:t>
            </w:r>
          </w:p>
        </w:tc>
      </w:tr>
      <w:tr w14:paraId="6A55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7C49AB50">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1</w:t>
            </w:r>
          </w:p>
        </w:tc>
        <w:tc>
          <w:tcPr>
            <w:tcW w:w="2212" w:type="pct"/>
            <w:vAlign w:val="center"/>
          </w:tcPr>
          <w:p w14:paraId="4C54E90A">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ascii="宋体" w:hAnsi="宋体" w:eastAsia="宋体" w:cs="宋体"/>
                <w:sz w:val="21"/>
                <w:szCs w:val="21"/>
              </w:rPr>
              <w:t>承力件长度、宽度、高度</w:t>
            </w:r>
          </w:p>
        </w:tc>
        <w:tc>
          <w:tcPr>
            <w:tcW w:w="849" w:type="pct"/>
            <w:vAlign w:val="center"/>
          </w:tcPr>
          <w:p w14:paraId="6BACBBAE">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±1.0</w:t>
            </w:r>
          </w:p>
        </w:tc>
        <w:tc>
          <w:tcPr>
            <w:tcW w:w="1444" w:type="pct"/>
            <w:vAlign w:val="center"/>
          </w:tcPr>
          <w:p w14:paraId="5A59B320">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用钢尺、游标卡尺检查</w:t>
            </w:r>
          </w:p>
        </w:tc>
      </w:tr>
      <w:tr w14:paraId="3F50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3FA67272">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2</w:t>
            </w:r>
          </w:p>
        </w:tc>
        <w:tc>
          <w:tcPr>
            <w:tcW w:w="2212" w:type="pct"/>
            <w:vAlign w:val="center"/>
          </w:tcPr>
          <w:p w14:paraId="524081EE">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ascii="宋体" w:hAnsi="宋体" w:eastAsia="宋体" w:cs="宋体"/>
                <w:sz w:val="21"/>
                <w:szCs w:val="21"/>
              </w:rPr>
              <w:t>承力件平面度</w:t>
            </w:r>
          </w:p>
        </w:tc>
        <w:tc>
          <w:tcPr>
            <w:tcW w:w="849" w:type="pct"/>
            <w:vAlign w:val="center"/>
          </w:tcPr>
          <w:p w14:paraId="1DD78877">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0.5</w:t>
            </w:r>
          </w:p>
        </w:tc>
        <w:tc>
          <w:tcPr>
            <w:tcW w:w="1444" w:type="pct"/>
            <w:vAlign w:val="center"/>
          </w:tcPr>
          <w:p w14:paraId="3C36778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用钢尺、塞尺检查</w:t>
            </w:r>
          </w:p>
        </w:tc>
      </w:tr>
      <w:tr w14:paraId="7922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4555BE2B">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3</w:t>
            </w:r>
          </w:p>
        </w:tc>
        <w:tc>
          <w:tcPr>
            <w:tcW w:w="2212" w:type="pct"/>
            <w:vAlign w:val="center"/>
          </w:tcPr>
          <w:p w14:paraId="3D59BCB0">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爪靴竖向间距</w:t>
            </w:r>
          </w:p>
        </w:tc>
        <w:tc>
          <w:tcPr>
            <w:tcW w:w="849" w:type="pct"/>
            <w:vAlign w:val="center"/>
          </w:tcPr>
          <w:p w14:paraId="06383B7C">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±0.2</w:t>
            </w:r>
          </w:p>
        </w:tc>
        <w:tc>
          <w:tcPr>
            <w:tcW w:w="1444" w:type="pct"/>
            <w:vAlign w:val="center"/>
          </w:tcPr>
          <w:p w14:paraId="05CF483C">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用钢尺、游标卡尺检查</w:t>
            </w:r>
          </w:p>
        </w:tc>
      </w:tr>
      <w:tr w14:paraId="5758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2814EE3A">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4</w:t>
            </w:r>
          </w:p>
        </w:tc>
        <w:tc>
          <w:tcPr>
            <w:tcW w:w="2212" w:type="pct"/>
            <w:vAlign w:val="center"/>
          </w:tcPr>
          <w:p w14:paraId="73DEEF8C">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爪靴水平间距</w:t>
            </w:r>
          </w:p>
        </w:tc>
        <w:tc>
          <w:tcPr>
            <w:tcW w:w="849" w:type="pct"/>
            <w:vAlign w:val="center"/>
          </w:tcPr>
          <w:p w14:paraId="0043D801">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±1.0</w:t>
            </w:r>
          </w:p>
        </w:tc>
        <w:tc>
          <w:tcPr>
            <w:tcW w:w="1444" w:type="pct"/>
            <w:vAlign w:val="center"/>
          </w:tcPr>
          <w:p w14:paraId="4A31189D">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用钢尺、游标卡尺检查</w:t>
            </w:r>
          </w:p>
        </w:tc>
      </w:tr>
      <w:tr w14:paraId="3F19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75EEECD9">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5</w:t>
            </w:r>
          </w:p>
        </w:tc>
        <w:tc>
          <w:tcPr>
            <w:tcW w:w="2212" w:type="pct"/>
            <w:vAlign w:val="center"/>
          </w:tcPr>
          <w:p w14:paraId="55E01587">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ascii="宋体" w:hAnsi="宋体" w:eastAsia="宋体" w:cs="宋体"/>
                <w:sz w:val="21"/>
                <w:szCs w:val="21"/>
              </w:rPr>
              <w:t>承力件与固定件上的对拉杆孔位置</w:t>
            </w:r>
          </w:p>
        </w:tc>
        <w:tc>
          <w:tcPr>
            <w:tcW w:w="849" w:type="pct"/>
            <w:vAlign w:val="center"/>
          </w:tcPr>
          <w:p w14:paraId="4AD9E4EE">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±1.0</w:t>
            </w:r>
          </w:p>
        </w:tc>
        <w:tc>
          <w:tcPr>
            <w:tcW w:w="1444" w:type="pct"/>
            <w:vAlign w:val="center"/>
          </w:tcPr>
          <w:p w14:paraId="1172AAB4">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用钢尺、游标卡尺检查</w:t>
            </w:r>
          </w:p>
        </w:tc>
      </w:tr>
      <w:tr w14:paraId="685E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1FE5D0CA">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6</w:t>
            </w:r>
          </w:p>
        </w:tc>
        <w:tc>
          <w:tcPr>
            <w:tcW w:w="2212" w:type="pct"/>
            <w:vAlign w:val="center"/>
          </w:tcPr>
          <w:p w14:paraId="197F0661">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ascii="宋体" w:hAnsi="宋体" w:eastAsia="宋体" w:cs="宋体"/>
                <w:sz w:val="21"/>
                <w:szCs w:val="21"/>
              </w:rPr>
              <w:t>爪箱平面度</w:t>
            </w:r>
          </w:p>
        </w:tc>
        <w:tc>
          <w:tcPr>
            <w:tcW w:w="849" w:type="pct"/>
            <w:vAlign w:val="center"/>
          </w:tcPr>
          <w:p w14:paraId="61EA1C64">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1.0</w:t>
            </w:r>
          </w:p>
        </w:tc>
        <w:tc>
          <w:tcPr>
            <w:tcW w:w="1444" w:type="pct"/>
            <w:vAlign w:val="center"/>
          </w:tcPr>
          <w:p w14:paraId="084F4C20">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用钢尺、塞尺检查</w:t>
            </w:r>
          </w:p>
        </w:tc>
      </w:tr>
      <w:tr w14:paraId="0858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0B2C3112">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7</w:t>
            </w:r>
          </w:p>
        </w:tc>
        <w:tc>
          <w:tcPr>
            <w:tcW w:w="2212" w:type="pct"/>
            <w:vAlign w:val="center"/>
          </w:tcPr>
          <w:p w14:paraId="0DDE12E5">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ascii="宋体" w:hAnsi="宋体" w:eastAsia="宋体" w:cs="宋体"/>
                <w:sz w:val="21"/>
                <w:szCs w:val="21"/>
              </w:rPr>
              <w:t>支承架滑移面平面度</w:t>
            </w:r>
          </w:p>
        </w:tc>
        <w:tc>
          <w:tcPr>
            <w:tcW w:w="849" w:type="pct"/>
            <w:vAlign w:val="center"/>
          </w:tcPr>
          <w:p w14:paraId="2E749037">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0.5</w:t>
            </w:r>
          </w:p>
        </w:tc>
        <w:tc>
          <w:tcPr>
            <w:tcW w:w="1444" w:type="pct"/>
            <w:vAlign w:val="center"/>
          </w:tcPr>
          <w:p w14:paraId="3ED75D03">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用钢尺、塞尺检查</w:t>
            </w:r>
          </w:p>
        </w:tc>
      </w:tr>
      <w:tr w14:paraId="36E0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3F45994C">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8</w:t>
            </w:r>
          </w:p>
        </w:tc>
        <w:tc>
          <w:tcPr>
            <w:tcW w:w="2212" w:type="pct"/>
            <w:vAlign w:val="center"/>
          </w:tcPr>
          <w:p w14:paraId="40A45327">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挂爪竖向间距</w:t>
            </w:r>
          </w:p>
        </w:tc>
        <w:tc>
          <w:tcPr>
            <w:tcW w:w="849" w:type="pct"/>
            <w:vAlign w:val="center"/>
          </w:tcPr>
          <w:p w14:paraId="3117F10B">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±0.2</w:t>
            </w:r>
          </w:p>
        </w:tc>
        <w:tc>
          <w:tcPr>
            <w:tcW w:w="1444" w:type="pct"/>
            <w:vAlign w:val="center"/>
          </w:tcPr>
          <w:p w14:paraId="561480EB">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用钢尺、游标卡尺检查</w:t>
            </w:r>
          </w:p>
        </w:tc>
      </w:tr>
      <w:tr w14:paraId="5923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0E6F585E">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9</w:t>
            </w:r>
          </w:p>
        </w:tc>
        <w:tc>
          <w:tcPr>
            <w:tcW w:w="2212" w:type="pct"/>
            <w:vAlign w:val="center"/>
          </w:tcPr>
          <w:p w14:paraId="275F29D3">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挂爪水平间距</w:t>
            </w:r>
          </w:p>
        </w:tc>
        <w:tc>
          <w:tcPr>
            <w:tcW w:w="849" w:type="pct"/>
            <w:vAlign w:val="center"/>
          </w:tcPr>
          <w:p w14:paraId="0987B4E3">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±1.0</w:t>
            </w:r>
          </w:p>
        </w:tc>
        <w:tc>
          <w:tcPr>
            <w:tcW w:w="1444" w:type="pct"/>
            <w:vAlign w:val="center"/>
          </w:tcPr>
          <w:p w14:paraId="324443E3">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用钢尺、游标卡尺检查</w:t>
            </w:r>
          </w:p>
        </w:tc>
      </w:tr>
      <w:tr w14:paraId="4D83C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6B3E46E3">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10</w:t>
            </w:r>
          </w:p>
        </w:tc>
        <w:tc>
          <w:tcPr>
            <w:tcW w:w="2212" w:type="pct"/>
            <w:vAlign w:val="center"/>
          </w:tcPr>
          <w:p w14:paraId="32513464">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ascii="宋体" w:hAnsi="宋体" w:eastAsia="宋体" w:cs="宋体"/>
                <w:sz w:val="21"/>
                <w:szCs w:val="21"/>
              </w:rPr>
              <w:t>转接框架滑移面平面度</w:t>
            </w:r>
          </w:p>
        </w:tc>
        <w:tc>
          <w:tcPr>
            <w:tcW w:w="849" w:type="pct"/>
            <w:vAlign w:val="center"/>
          </w:tcPr>
          <w:p w14:paraId="310D8E4D">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ascii="宋体" w:hAnsi="宋体" w:eastAsia="宋体" w:cs="宋体"/>
                <w:sz w:val="21"/>
                <w:szCs w:val="21"/>
              </w:rPr>
              <w:t>0.5</w:t>
            </w:r>
          </w:p>
        </w:tc>
        <w:tc>
          <w:tcPr>
            <w:tcW w:w="1444" w:type="pct"/>
            <w:vAlign w:val="center"/>
          </w:tcPr>
          <w:p w14:paraId="235BA1A1">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ascii="宋体" w:hAnsi="宋体" w:eastAsia="宋体" w:cs="宋体"/>
                <w:sz w:val="21"/>
                <w:szCs w:val="21"/>
              </w:rPr>
              <w:t>用钢尺、塞尺检查</w:t>
            </w:r>
          </w:p>
        </w:tc>
      </w:tr>
      <w:tr w14:paraId="23A5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34E52B68">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pacing w:val="3"/>
                <w:sz w:val="21"/>
                <w:szCs w:val="21"/>
                <w:lang w:eastAsia="zh-CN"/>
              </w:rPr>
            </w:pPr>
            <w:r>
              <w:rPr>
                <w:rFonts w:hint="default" w:ascii="Times New Roman" w:hAnsi="Times New Roman" w:eastAsia="宋体" w:cs="Times New Roman"/>
                <w:color w:val="auto"/>
                <w:spacing w:val="3"/>
                <w:sz w:val="21"/>
                <w:szCs w:val="21"/>
              </w:rPr>
              <w:t>1</w:t>
            </w:r>
            <w:r>
              <w:rPr>
                <w:rFonts w:hint="eastAsia" w:ascii="Times New Roman" w:hAnsi="Times New Roman" w:cs="Times New Roman"/>
                <w:color w:val="auto"/>
                <w:spacing w:val="3"/>
                <w:sz w:val="21"/>
                <w:szCs w:val="21"/>
                <w:lang w:val="en-US" w:eastAsia="zh-CN"/>
              </w:rPr>
              <w:t>1</w:t>
            </w:r>
          </w:p>
        </w:tc>
        <w:tc>
          <w:tcPr>
            <w:tcW w:w="2212" w:type="pct"/>
            <w:shd w:val="clear" w:color="auto" w:fill="auto"/>
            <w:vAlign w:val="center"/>
          </w:tcPr>
          <w:p w14:paraId="2D00A9A0">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油缸上托盘平面度</w:t>
            </w:r>
          </w:p>
        </w:tc>
        <w:tc>
          <w:tcPr>
            <w:tcW w:w="849" w:type="pct"/>
            <w:shd w:val="clear" w:color="auto" w:fill="auto"/>
            <w:vAlign w:val="center"/>
          </w:tcPr>
          <w:p w14:paraId="79F60E2A">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0.5</w:t>
            </w:r>
          </w:p>
        </w:tc>
        <w:tc>
          <w:tcPr>
            <w:tcW w:w="1444" w:type="pct"/>
            <w:shd w:val="clear" w:color="auto" w:fill="auto"/>
            <w:vAlign w:val="center"/>
          </w:tcPr>
          <w:p w14:paraId="7DAE7934">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用钢尺、塞尺检查</w:t>
            </w:r>
          </w:p>
        </w:tc>
      </w:tr>
      <w:tr w14:paraId="03F9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2" w:type="pct"/>
            <w:vAlign w:val="center"/>
          </w:tcPr>
          <w:p w14:paraId="56150A4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12</w:t>
            </w:r>
          </w:p>
        </w:tc>
        <w:tc>
          <w:tcPr>
            <w:tcW w:w="2212" w:type="pct"/>
            <w:shd w:val="clear" w:color="auto" w:fill="auto"/>
            <w:vAlign w:val="center"/>
          </w:tcPr>
          <w:p w14:paraId="405E6364">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油缸托架滑移面平面度</w:t>
            </w:r>
          </w:p>
        </w:tc>
        <w:tc>
          <w:tcPr>
            <w:tcW w:w="849" w:type="pct"/>
            <w:shd w:val="clear" w:color="auto" w:fill="auto"/>
            <w:vAlign w:val="center"/>
          </w:tcPr>
          <w:p w14:paraId="7DF3CE3B">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0.5</w:t>
            </w:r>
          </w:p>
        </w:tc>
        <w:tc>
          <w:tcPr>
            <w:tcW w:w="1444" w:type="pct"/>
            <w:shd w:val="clear" w:color="auto" w:fill="auto"/>
            <w:vAlign w:val="center"/>
          </w:tcPr>
          <w:p w14:paraId="520CE465">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用钢尺、塞尺检查</w:t>
            </w:r>
          </w:p>
        </w:tc>
      </w:tr>
    </w:tbl>
    <w:p w14:paraId="092732F5">
      <w:pPr>
        <w:spacing w:line="219" w:lineRule="auto"/>
        <w:ind w:left="611"/>
        <w:rPr>
          <w:rFonts w:hint="eastAsia" w:cs="Times New Roman"/>
          <w:b/>
          <w:bCs/>
          <w:color w:val="auto"/>
          <w:spacing w:val="-1"/>
          <w:sz w:val="24"/>
          <w:szCs w:val="24"/>
          <w:lang w:val="en-US" w:eastAsia="zh-CN"/>
        </w:rPr>
      </w:pPr>
    </w:p>
    <w:p w14:paraId="07A9AF19">
      <w:pPr>
        <w:spacing w:line="219" w:lineRule="auto"/>
        <w:rPr>
          <w:rFonts w:hint="eastAsia" w:ascii="宋体" w:hAnsi="宋体" w:eastAsia="宋体" w:cs="宋体"/>
          <w:color w:val="auto"/>
          <w:sz w:val="24"/>
          <w:szCs w:val="24"/>
          <w:lang w:eastAsia="zh-CN"/>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3</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spacing w:val="-1"/>
          <w:sz w:val="24"/>
          <w:szCs w:val="24"/>
          <w:lang w:val="en-US" w:eastAsia="zh-CN"/>
        </w:rPr>
        <w:t>3</w:t>
      </w:r>
      <w:r>
        <w:rPr>
          <w:rFonts w:hint="eastAsia" w:ascii="Times New Roman" w:hAnsi="Times New Roman" w:eastAsia="宋体" w:cs="Times New Roman"/>
          <w:b/>
          <w:bCs/>
          <w:color w:val="auto"/>
          <w:spacing w:val="-1"/>
          <w:sz w:val="24"/>
          <w:szCs w:val="24"/>
          <w:lang w:val="en-US" w:eastAsia="zh-CN"/>
        </w:rPr>
        <w:t xml:space="preserve"> </w:t>
      </w:r>
      <w:r>
        <w:rPr>
          <w:rFonts w:hint="eastAsia" w:cs="Times New Roman"/>
          <w:b/>
          <w:bCs/>
          <w:color w:val="auto"/>
          <w:spacing w:val="-1"/>
          <w:sz w:val="24"/>
          <w:szCs w:val="24"/>
          <w:lang w:val="en-US" w:eastAsia="zh-CN"/>
        </w:rPr>
        <w:t xml:space="preserve"> </w:t>
      </w:r>
      <w:r>
        <w:rPr>
          <w:rFonts w:hint="eastAsia" w:cs="Times New Roman"/>
          <w:color w:val="auto"/>
          <w:spacing w:val="-1"/>
          <w:sz w:val="24"/>
          <w:szCs w:val="24"/>
          <w:lang w:val="en-US" w:eastAsia="zh-CN"/>
        </w:rPr>
        <w:t>钢</w:t>
      </w:r>
      <w:r>
        <w:rPr>
          <w:rFonts w:hint="default" w:ascii="Times New Roman" w:hAnsi="Times New Roman" w:eastAsia="宋体" w:cs="Times New Roman"/>
          <w:color w:val="auto"/>
          <w:spacing w:val="-1"/>
          <w:sz w:val="24"/>
          <w:szCs w:val="24"/>
        </w:rPr>
        <w:t>平台</w:t>
      </w:r>
      <w:r>
        <w:rPr>
          <w:rFonts w:hint="eastAsia" w:cs="Times New Roman"/>
          <w:color w:val="auto"/>
          <w:spacing w:val="-1"/>
          <w:sz w:val="24"/>
          <w:szCs w:val="24"/>
          <w:lang w:val="en-US" w:eastAsia="zh-CN"/>
        </w:rPr>
        <w:t>系统</w:t>
      </w:r>
      <w:r>
        <w:rPr>
          <w:rFonts w:hint="default" w:ascii="Times New Roman" w:hAnsi="Times New Roman" w:eastAsia="宋体" w:cs="Times New Roman"/>
          <w:color w:val="auto"/>
          <w:spacing w:val="-1"/>
          <w:sz w:val="24"/>
          <w:szCs w:val="24"/>
        </w:rPr>
        <w:t>其允许偏差及检验方法应符合表7.3.3的规定，检查数量：全数检查</w:t>
      </w:r>
      <w:r>
        <w:rPr>
          <w:rFonts w:hint="default" w:ascii="Times New Roman" w:hAnsi="Times New Roman" w:cs="Times New Roman"/>
          <w:color w:val="auto"/>
          <w:spacing w:val="-1"/>
          <w:sz w:val="24"/>
          <w:szCs w:val="24"/>
          <w:lang w:eastAsia="zh-CN"/>
        </w:rPr>
        <w:t>。</w:t>
      </w:r>
    </w:p>
    <w:p w14:paraId="0DAFCC06">
      <w:pPr>
        <w:spacing w:before="176" w:line="228" w:lineRule="auto"/>
        <w:ind w:left="2472"/>
        <w:rPr>
          <w:rFonts w:hint="default" w:ascii="Arial" w:hAnsi="Arial" w:eastAsia="黑体" w:cs="Arial"/>
          <w:b w:val="0"/>
          <w:bCs w:val="0"/>
          <w:color w:val="auto"/>
          <w:sz w:val="21"/>
          <w:szCs w:val="21"/>
        </w:rPr>
      </w:pPr>
      <w:r>
        <w:rPr>
          <w:rFonts w:hint="default" w:ascii="Arial" w:hAnsi="Arial" w:eastAsia="黑体" w:cs="Arial"/>
          <w:b w:val="0"/>
          <w:bCs w:val="0"/>
          <w:color w:val="auto"/>
          <w:spacing w:val="6"/>
          <w:sz w:val="21"/>
          <w:szCs w:val="21"/>
        </w:rPr>
        <w:t>表</w:t>
      </w:r>
      <w:r>
        <w:rPr>
          <w:rFonts w:hint="eastAsia" w:ascii="Arial" w:hAnsi="Arial" w:eastAsia="黑体" w:cs="Arial"/>
          <w:b w:val="0"/>
          <w:bCs w:val="0"/>
          <w:color w:val="auto"/>
          <w:spacing w:val="6"/>
          <w:sz w:val="21"/>
          <w:szCs w:val="21"/>
          <w:lang w:val="en-US" w:eastAsia="zh-CN"/>
        </w:rPr>
        <w:t>7.3.3</w:t>
      </w:r>
      <w:r>
        <w:rPr>
          <w:rFonts w:hint="default" w:ascii="Arial" w:hAnsi="Arial" w:eastAsia="黑体" w:cs="Arial"/>
          <w:b w:val="0"/>
          <w:bCs w:val="0"/>
          <w:color w:val="auto"/>
          <w:spacing w:val="6"/>
          <w:sz w:val="21"/>
          <w:szCs w:val="21"/>
          <w:lang w:val="en-US" w:eastAsia="zh-CN"/>
        </w:rPr>
        <w:t xml:space="preserve">  </w:t>
      </w:r>
      <w:r>
        <w:rPr>
          <w:rFonts w:hint="eastAsia" w:ascii="Arial" w:hAnsi="Arial" w:eastAsia="黑体" w:cs="Arial"/>
          <w:b w:val="0"/>
          <w:bCs w:val="0"/>
          <w:color w:val="auto"/>
          <w:spacing w:val="6"/>
          <w:sz w:val="21"/>
          <w:szCs w:val="21"/>
          <w:lang w:val="en-US" w:eastAsia="zh-CN"/>
        </w:rPr>
        <w:t>钢</w:t>
      </w:r>
      <w:r>
        <w:rPr>
          <w:rFonts w:hint="default" w:ascii="Arial" w:hAnsi="Arial" w:eastAsia="黑体" w:cs="Arial"/>
          <w:b w:val="0"/>
          <w:bCs w:val="0"/>
          <w:color w:val="auto"/>
          <w:spacing w:val="6"/>
          <w:sz w:val="21"/>
          <w:szCs w:val="21"/>
        </w:rPr>
        <w:t>平台制作允许偏差及检验方法</w:t>
      </w:r>
    </w:p>
    <w:p w14:paraId="20C266D5">
      <w:pPr>
        <w:spacing w:line="132" w:lineRule="exact"/>
        <w:rPr>
          <w:color w:val="auto"/>
        </w:rPr>
      </w:pPr>
    </w:p>
    <w:tbl>
      <w:tblPr>
        <w:tblStyle w:val="66"/>
        <w:tblW w:w="49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32"/>
        <w:gridCol w:w="2871"/>
        <w:gridCol w:w="1928"/>
        <w:gridCol w:w="3176"/>
      </w:tblGrid>
      <w:tr w14:paraId="04C0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523" w:type="pct"/>
            <w:vAlign w:val="center"/>
          </w:tcPr>
          <w:p w14:paraId="0A9D233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黑体" w:cs="Times New Roman"/>
                <w:b w:val="0"/>
                <w:bCs w:val="0"/>
                <w:color w:val="auto"/>
                <w:spacing w:val="3"/>
                <w:sz w:val="21"/>
                <w:szCs w:val="21"/>
              </w:rPr>
            </w:pPr>
            <w:r>
              <w:rPr>
                <w:rFonts w:hint="default" w:ascii="Times New Roman" w:hAnsi="Times New Roman" w:eastAsia="黑体" w:cs="Times New Roman"/>
                <w:b w:val="0"/>
                <w:bCs w:val="0"/>
                <w:color w:val="auto"/>
                <w:spacing w:val="3"/>
                <w:sz w:val="21"/>
                <w:szCs w:val="21"/>
              </w:rPr>
              <w:t>项次</w:t>
            </w:r>
          </w:p>
        </w:tc>
        <w:tc>
          <w:tcPr>
            <w:tcW w:w="1611" w:type="pct"/>
            <w:vAlign w:val="center"/>
          </w:tcPr>
          <w:p w14:paraId="0176753C">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黑体" w:cs="Times New Roman"/>
                <w:b w:val="0"/>
                <w:bCs w:val="0"/>
                <w:color w:val="auto"/>
                <w:spacing w:val="3"/>
                <w:sz w:val="21"/>
                <w:szCs w:val="21"/>
              </w:rPr>
            </w:pPr>
            <w:r>
              <w:rPr>
                <w:rFonts w:hint="default" w:ascii="Times New Roman" w:hAnsi="Times New Roman" w:eastAsia="黑体" w:cs="Times New Roman"/>
                <w:b w:val="0"/>
                <w:bCs w:val="0"/>
                <w:color w:val="auto"/>
                <w:spacing w:val="3"/>
                <w:sz w:val="21"/>
                <w:szCs w:val="21"/>
              </w:rPr>
              <w:t>项目</w:t>
            </w:r>
          </w:p>
        </w:tc>
        <w:tc>
          <w:tcPr>
            <w:tcW w:w="1082" w:type="pct"/>
            <w:vAlign w:val="center"/>
          </w:tcPr>
          <w:p w14:paraId="571D3673">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黑体" w:cs="Times New Roman"/>
                <w:b w:val="0"/>
                <w:bCs w:val="0"/>
                <w:color w:val="auto"/>
                <w:spacing w:val="3"/>
                <w:sz w:val="21"/>
                <w:szCs w:val="21"/>
              </w:rPr>
            </w:pPr>
            <w:r>
              <w:rPr>
                <w:rFonts w:hint="default" w:ascii="Times New Roman" w:hAnsi="Times New Roman" w:eastAsia="黑体" w:cs="Times New Roman"/>
                <w:b w:val="0"/>
                <w:bCs w:val="0"/>
                <w:color w:val="auto"/>
                <w:spacing w:val="3"/>
                <w:sz w:val="21"/>
                <w:szCs w:val="21"/>
              </w:rPr>
              <w:t>允许偏差（mm）</w:t>
            </w:r>
          </w:p>
        </w:tc>
        <w:tc>
          <w:tcPr>
            <w:tcW w:w="1782" w:type="pct"/>
            <w:vAlign w:val="center"/>
          </w:tcPr>
          <w:p w14:paraId="15529403">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黑体" w:cs="Times New Roman"/>
                <w:b w:val="0"/>
                <w:bCs w:val="0"/>
                <w:color w:val="auto"/>
                <w:spacing w:val="3"/>
                <w:sz w:val="21"/>
                <w:szCs w:val="21"/>
              </w:rPr>
            </w:pPr>
            <w:r>
              <w:rPr>
                <w:rFonts w:hint="default" w:ascii="Times New Roman" w:hAnsi="Times New Roman" w:eastAsia="黑体" w:cs="Times New Roman"/>
                <w:b w:val="0"/>
                <w:bCs w:val="0"/>
                <w:color w:val="auto"/>
                <w:spacing w:val="3"/>
                <w:sz w:val="21"/>
                <w:szCs w:val="21"/>
              </w:rPr>
              <w:t>检验方法</w:t>
            </w:r>
          </w:p>
        </w:tc>
      </w:tr>
      <w:tr w14:paraId="7A60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523" w:type="pct"/>
            <w:vAlign w:val="center"/>
          </w:tcPr>
          <w:p w14:paraId="7C0E460E">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1</w:t>
            </w:r>
          </w:p>
        </w:tc>
        <w:tc>
          <w:tcPr>
            <w:tcW w:w="1611" w:type="pct"/>
            <w:vAlign w:val="center"/>
          </w:tcPr>
          <w:p w14:paraId="5523B785">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构件长度、高度、对角线</w:t>
            </w:r>
          </w:p>
        </w:tc>
        <w:tc>
          <w:tcPr>
            <w:tcW w:w="1082" w:type="pct"/>
            <w:vAlign w:val="center"/>
          </w:tcPr>
          <w:p w14:paraId="41AB2F9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±2.0</w:t>
            </w:r>
          </w:p>
        </w:tc>
        <w:tc>
          <w:tcPr>
            <w:tcW w:w="1782" w:type="pct"/>
            <w:vAlign w:val="center"/>
          </w:tcPr>
          <w:p w14:paraId="7797141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用钢尺检查</w:t>
            </w:r>
          </w:p>
        </w:tc>
      </w:tr>
      <w:tr w14:paraId="2A0A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523" w:type="pct"/>
            <w:vAlign w:val="center"/>
          </w:tcPr>
          <w:p w14:paraId="4BBD57FB">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2</w:t>
            </w:r>
          </w:p>
        </w:tc>
        <w:tc>
          <w:tcPr>
            <w:tcW w:w="1611" w:type="pct"/>
            <w:vAlign w:val="center"/>
          </w:tcPr>
          <w:p w14:paraId="214F08E6">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螺栓孔距</w:t>
            </w:r>
          </w:p>
        </w:tc>
        <w:tc>
          <w:tcPr>
            <w:tcW w:w="1082" w:type="pct"/>
            <w:vAlign w:val="center"/>
          </w:tcPr>
          <w:p w14:paraId="0401FB42">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±0.5</w:t>
            </w:r>
          </w:p>
        </w:tc>
        <w:tc>
          <w:tcPr>
            <w:tcW w:w="1782" w:type="pct"/>
            <w:vAlign w:val="center"/>
          </w:tcPr>
          <w:p w14:paraId="714A9AF8">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用游标卡尺检查</w:t>
            </w:r>
          </w:p>
        </w:tc>
      </w:tr>
      <w:tr w14:paraId="0BEC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523" w:type="pct"/>
            <w:vAlign w:val="center"/>
          </w:tcPr>
          <w:p w14:paraId="55942EBB">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3</w:t>
            </w:r>
          </w:p>
        </w:tc>
        <w:tc>
          <w:tcPr>
            <w:tcW w:w="1611" w:type="pct"/>
            <w:vAlign w:val="center"/>
          </w:tcPr>
          <w:p w14:paraId="3AE17934">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销轴孔距</w:t>
            </w:r>
          </w:p>
        </w:tc>
        <w:tc>
          <w:tcPr>
            <w:tcW w:w="1082" w:type="pct"/>
            <w:vAlign w:val="center"/>
          </w:tcPr>
          <w:p w14:paraId="0F419AE8">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±1.0</w:t>
            </w:r>
          </w:p>
        </w:tc>
        <w:tc>
          <w:tcPr>
            <w:tcW w:w="1782" w:type="pct"/>
            <w:vAlign w:val="center"/>
          </w:tcPr>
          <w:p w14:paraId="6CB62F0A">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用钢尺检查</w:t>
            </w:r>
          </w:p>
        </w:tc>
      </w:tr>
      <w:tr w14:paraId="3602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523" w:type="pct"/>
            <w:vAlign w:val="center"/>
          </w:tcPr>
          <w:p w14:paraId="0113B67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4</w:t>
            </w:r>
          </w:p>
        </w:tc>
        <w:tc>
          <w:tcPr>
            <w:tcW w:w="1611" w:type="pct"/>
            <w:vAlign w:val="center"/>
          </w:tcPr>
          <w:p w14:paraId="3013CDAC">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滑移面平面度</w:t>
            </w:r>
          </w:p>
        </w:tc>
        <w:tc>
          <w:tcPr>
            <w:tcW w:w="1082" w:type="pct"/>
            <w:vAlign w:val="center"/>
          </w:tcPr>
          <w:p w14:paraId="3173D722">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0.5</w:t>
            </w:r>
          </w:p>
        </w:tc>
        <w:tc>
          <w:tcPr>
            <w:tcW w:w="1782" w:type="pct"/>
            <w:vAlign w:val="center"/>
          </w:tcPr>
          <w:p w14:paraId="0ED92429">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用钢尺、塞尺检查</w:t>
            </w:r>
          </w:p>
        </w:tc>
      </w:tr>
    </w:tbl>
    <w:p w14:paraId="4FF32A74">
      <w:pPr>
        <w:spacing w:line="219" w:lineRule="auto"/>
        <w:ind w:left="611"/>
        <w:rPr>
          <w:rFonts w:hint="eastAsia" w:ascii="宋体" w:hAnsi="宋体" w:cs="宋体"/>
          <w:color w:val="auto"/>
          <w:spacing w:val="-1"/>
          <w:sz w:val="24"/>
          <w:szCs w:val="24"/>
          <w:lang w:val="en-US" w:eastAsia="zh-CN"/>
        </w:rPr>
      </w:pPr>
    </w:p>
    <w:p w14:paraId="46EFC4C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pacing w:val="-1"/>
          <w:sz w:val="24"/>
          <w:szCs w:val="24"/>
        </w:rPr>
      </w:pPr>
      <w:r>
        <w:rPr>
          <w:rFonts w:hint="default" w:ascii="Times New Roman" w:hAnsi="Times New Roman"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default" w:ascii="Times New Roman" w:hAnsi="Times New Roman" w:cs="Times New Roman"/>
          <w:b/>
          <w:bCs/>
          <w:color w:val="auto"/>
          <w:kern w:val="0"/>
          <w:sz w:val="24"/>
          <w:szCs w:val="24"/>
          <w:highlight w:val="none"/>
          <w:lang w:val="en-US" w:eastAsia="zh-CN" w:bidi="ar"/>
        </w:rPr>
        <w:t>3</w:t>
      </w:r>
      <w:r>
        <w:rPr>
          <w:rFonts w:hint="default" w:ascii="Times New Roman" w:hAnsi="Times New Roman" w:eastAsia="宋体" w:cs="Times New Roman"/>
          <w:b/>
          <w:bCs/>
          <w:color w:val="auto"/>
          <w:kern w:val="0"/>
          <w:sz w:val="24"/>
          <w:szCs w:val="24"/>
          <w:highlight w:val="none"/>
          <w:lang w:val="en-US" w:eastAsia="zh-CN" w:bidi="ar"/>
        </w:rPr>
        <w:t>.</w:t>
      </w:r>
      <w:r>
        <w:rPr>
          <w:rFonts w:hint="default" w:ascii="Times New Roman" w:hAnsi="Times New Roman" w:cs="Times New Roman"/>
          <w:b/>
          <w:bCs/>
          <w:color w:val="auto"/>
          <w:spacing w:val="-1"/>
          <w:sz w:val="24"/>
          <w:szCs w:val="24"/>
          <w:lang w:val="en-US" w:eastAsia="zh-CN"/>
        </w:rPr>
        <w:t>4</w:t>
      </w:r>
      <w:r>
        <w:rPr>
          <w:rFonts w:hint="default" w:ascii="Times New Roman" w:hAnsi="Times New Roman" w:cs="Times New Roman"/>
          <w:color w:val="auto"/>
          <w:spacing w:val="-1"/>
          <w:sz w:val="24"/>
          <w:szCs w:val="24"/>
          <w:lang w:val="en-US" w:eastAsia="zh-CN"/>
        </w:rPr>
        <w:t xml:space="preserve">  </w:t>
      </w:r>
      <w:r>
        <w:rPr>
          <w:rFonts w:hint="eastAsia" w:cs="Times New Roman"/>
          <w:color w:val="auto"/>
          <w:spacing w:val="-1"/>
          <w:sz w:val="24"/>
          <w:szCs w:val="24"/>
          <w:lang w:val="en-US" w:eastAsia="zh-CN"/>
        </w:rPr>
        <w:t>动力系统</w:t>
      </w:r>
      <w:r>
        <w:rPr>
          <w:rFonts w:hint="default" w:ascii="Times New Roman" w:hAnsi="Times New Roman" w:cs="Times New Roman"/>
          <w:color w:val="auto"/>
          <w:spacing w:val="-1"/>
          <w:sz w:val="24"/>
          <w:szCs w:val="24"/>
          <w:lang w:val="en-US" w:eastAsia="zh-CN"/>
        </w:rPr>
        <w:t>制作技术要求及检验方法应符合表7.3.4的规定，检查数量：全数检查。</w:t>
      </w:r>
    </w:p>
    <w:p w14:paraId="65ABEB8E">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黑体" w:cs="Times New Roman"/>
          <w:b w:val="0"/>
          <w:bCs w:val="0"/>
          <w:color w:val="auto"/>
          <w:spacing w:val="6"/>
          <w:sz w:val="21"/>
          <w:szCs w:val="21"/>
        </w:rPr>
      </w:pPr>
      <w:r>
        <w:rPr>
          <w:rFonts w:hint="default" w:ascii="Times New Roman" w:hAnsi="Times New Roman" w:eastAsia="黑体" w:cs="Times New Roman"/>
          <w:b w:val="0"/>
          <w:bCs w:val="0"/>
          <w:color w:val="auto"/>
          <w:spacing w:val="6"/>
          <w:sz w:val="21"/>
          <w:szCs w:val="21"/>
        </w:rPr>
        <w:t>表</w:t>
      </w:r>
      <w:r>
        <w:rPr>
          <w:rFonts w:hint="default" w:ascii="Times New Roman" w:hAnsi="Times New Roman" w:eastAsia="黑体" w:cs="Times New Roman"/>
          <w:b w:val="0"/>
          <w:bCs w:val="0"/>
          <w:color w:val="auto"/>
          <w:spacing w:val="6"/>
          <w:sz w:val="21"/>
          <w:szCs w:val="21"/>
          <w:lang w:val="en-US" w:eastAsia="zh-CN"/>
        </w:rPr>
        <w:t>7.3.</w:t>
      </w:r>
      <w:r>
        <w:rPr>
          <w:rFonts w:hint="eastAsia" w:eastAsia="黑体" w:cs="Times New Roman"/>
          <w:b w:val="0"/>
          <w:bCs w:val="0"/>
          <w:color w:val="auto"/>
          <w:spacing w:val="6"/>
          <w:sz w:val="21"/>
          <w:szCs w:val="21"/>
          <w:lang w:val="en-US" w:eastAsia="zh-CN"/>
        </w:rPr>
        <w:t>4</w:t>
      </w:r>
      <w:r>
        <w:rPr>
          <w:rFonts w:hint="default" w:ascii="Times New Roman" w:hAnsi="Times New Roman" w:eastAsia="黑体" w:cs="Times New Roman"/>
          <w:b w:val="0"/>
          <w:bCs w:val="0"/>
          <w:color w:val="auto"/>
          <w:spacing w:val="6"/>
          <w:sz w:val="21"/>
          <w:szCs w:val="21"/>
        </w:rPr>
        <w:t xml:space="preserve"> </w:t>
      </w:r>
      <w:r>
        <w:rPr>
          <w:rFonts w:hint="eastAsia" w:eastAsia="黑体" w:cs="Times New Roman"/>
          <w:b w:val="0"/>
          <w:bCs w:val="0"/>
          <w:color w:val="auto"/>
          <w:spacing w:val="6"/>
          <w:sz w:val="21"/>
          <w:szCs w:val="21"/>
          <w:highlight w:val="none"/>
          <w:lang w:val="en-US" w:eastAsia="zh-CN"/>
        </w:rPr>
        <w:t>动力系统</w:t>
      </w:r>
      <w:r>
        <w:rPr>
          <w:rFonts w:hint="default" w:ascii="Times New Roman" w:hAnsi="Times New Roman" w:eastAsia="黑体" w:cs="Times New Roman"/>
          <w:b w:val="0"/>
          <w:bCs w:val="0"/>
          <w:color w:val="auto"/>
          <w:spacing w:val="6"/>
          <w:sz w:val="21"/>
          <w:szCs w:val="21"/>
        </w:rPr>
        <w:t>制作技术要求及检验方法</w:t>
      </w:r>
    </w:p>
    <w:tbl>
      <w:tblPr>
        <w:tblStyle w:val="6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9"/>
        <w:gridCol w:w="1617"/>
        <w:gridCol w:w="3325"/>
        <w:gridCol w:w="3368"/>
      </w:tblGrid>
      <w:tr w14:paraId="484C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4" w:hRule="atLeast"/>
          <w:jc w:val="center"/>
        </w:trPr>
        <w:tc>
          <w:tcPr>
            <w:tcW w:w="378" w:type="pct"/>
            <w:vAlign w:val="center"/>
          </w:tcPr>
          <w:p w14:paraId="55688F5C">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auto"/>
                <w:spacing w:val="3"/>
                <w:sz w:val="21"/>
                <w:szCs w:val="21"/>
              </w:rPr>
            </w:pPr>
            <w:r>
              <w:rPr>
                <w:rFonts w:hint="eastAsia" w:ascii="黑体" w:hAnsi="黑体" w:eastAsia="黑体" w:cs="黑体"/>
                <w:b w:val="0"/>
                <w:bCs w:val="0"/>
                <w:color w:val="auto"/>
                <w:spacing w:val="3"/>
                <w:sz w:val="21"/>
                <w:szCs w:val="21"/>
              </w:rPr>
              <w:t>项次</w:t>
            </w:r>
          </w:p>
        </w:tc>
        <w:tc>
          <w:tcPr>
            <w:tcW w:w="899" w:type="pct"/>
            <w:vAlign w:val="center"/>
          </w:tcPr>
          <w:p w14:paraId="4DE051E1">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auto"/>
                <w:spacing w:val="3"/>
                <w:sz w:val="21"/>
                <w:szCs w:val="21"/>
              </w:rPr>
            </w:pPr>
            <w:r>
              <w:rPr>
                <w:rFonts w:hint="eastAsia" w:ascii="黑体" w:hAnsi="黑体" w:eastAsia="黑体" w:cs="黑体"/>
                <w:b w:val="0"/>
                <w:bCs w:val="0"/>
                <w:color w:val="auto"/>
                <w:spacing w:val="3"/>
                <w:sz w:val="21"/>
                <w:szCs w:val="21"/>
              </w:rPr>
              <w:t>项目</w:t>
            </w:r>
          </w:p>
        </w:tc>
        <w:tc>
          <w:tcPr>
            <w:tcW w:w="1849" w:type="pct"/>
            <w:vAlign w:val="center"/>
          </w:tcPr>
          <w:p w14:paraId="0E4BFA4B">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auto"/>
                <w:spacing w:val="3"/>
                <w:sz w:val="21"/>
                <w:szCs w:val="21"/>
              </w:rPr>
            </w:pPr>
            <w:r>
              <w:rPr>
                <w:rFonts w:hint="eastAsia" w:ascii="黑体" w:hAnsi="黑体" w:eastAsia="黑体" w:cs="黑体"/>
                <w:b w:val="0"/>
                <w:bCs w:val="0"/>
                <w:color w:val="auto"/>
                <w:spacing w:val="3"/>
                <w:sz w:val="21"/>
                <w:szCs w:val="21"/>
              </w:rPr>
              <w:t>技术要求</w:t>
            </w:r>
          </w:p>
        </w:tc>
        <w:tc>
          <w:tcPr>
            <w:tcW w:w="1873" w:type="pct"/>
            <w:vAlign w:val="center"/>
          </w:tcPr>
          <w:p w14:paraId="7A17DA30">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auto"/>
                <w:spacing w:val="3"/>
                <w:sz w:val="21"/>
                <w:szCs w:val="21"/>
              </w:rPr>
            </w:pPr>
            <w:r>
              <w:rPr>
                <w:rFonts w:hint="eastAsia" w:ascii="黑体" w:hAnsi="黑体" w:eastAsia="黑体" w:cs="黑体"/>
                <w:b w:val="0"/>
                <w:bCs w:val="0"/>
                <w:color w:val="auto"/>
                <w:spacing w:val="3"/>
                <w:sz w:val="21"/>
                <w:szCs w:val="21"/>
              </w:rPr>
              <w:t>检验方法</w:t>
            </w:r>
          </w:p>
        </w:tc>
      </w:tr>
      <w:tr w14:paraId="53A0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jc w:val="center"/>
        </w:trPr>
        <w:tc>
          <w:tcPr>
            <w:tcW w:w="378" w:type="pct"/>
            <w:vAlign w:val="center"/>
          </w:tcPr>
          <w:p w14:paraId="44160A2A">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1</w:t>
            </w:r>
          </w:p>
        </w:tc>
        <w:tc>
          <w:tcPr>
            <w:tcW w:w="899" w:type="pct"/>
            <w:vAlign w:val="center"/>
          </w:tcPr>
          <w:p w14:paraId="02EFB05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液压泵站</w:t>
            </w:r>
          </w:p>
        </w:tc>
        <w:tc>
          <w:tcPr>
            <w:tcW w:w="1849" w:type="pct"/>
            <w:vAlign w:val="center"/>
          </w:tcPr>
          <w:p w14:paraId="51C91005">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工作稳定、压力正常</w:t>
            </w:r>
          </w:p>
        </w:tc>
        <w:tc>
          <w:tcPr>
            <w:tcW w:w="1873" w:type="pct"/>
            <w:vAlign w:val="center"/>
          </w:tcPr>
          <w:p w14:paraId="6C7146B7">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开机检查</w:t>
            </w:r>
          </w:p>
        </w:tc>
      </w:tr>
      <w:tr w14:paraId="32C87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7" w:hRule="atLeast"/>
          <w:jc w:val="center"/>
        </w:trPr>
        <w:tc>
          <w:tcPr>
            <w:tcW w:w="378" w:type="pct"/>
            <w:vAlign w:val="center"/>
          </w:tcPr>
          <w:p w14:paraId="43E0AE93">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2</w:t>
            </w:r>
          </w:p>
        </w:tc>
        <w:tc>
          <w:tcPr>
            <w:tcW w:w="899" w:type="pct"/>
            <w:vAlign w:val="center"/>
          </w:tcPr>
          <w:p w14:paraId="068E3D2C">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各类阀件</w:t>
            </w:r>
          </w:p>
        </w:tc>
        <w:tc>
          <w:tcPr>
            <w:tcW w:w="1849" w:type="pct"/>
            <w:vAlign w:val="center"/>
          </w:tcPr>
          <w:p w14:paraId="450B938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动作灵敏、可靠、稳定</w:t>
            </w:r>
          </w:p>
        </w:tc>
        <w:tc>
          <w:tcPr>
            <w:tcW w:w="1873" w:type="pct"/>
            <w:vAlign w:val="center"/>
          </w:tcPr>
          <w:p w14:paraId="299CB78C">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观察动作</w:t>
            </w:r>
          </w:p>
        </w:tc>
      </w:tr>
      <w:tr w14:paraId="74EA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4" w:hRule="atLeast"/>
          <w:jc w:val="center"/>
        </w:trPr>
        <w:tc>
          <w:tcPr>
            <w:tcW w:w="378" w:type="pct"/>
            <w:vAlign w:val="center"/>
          </w:tcPr>
          <w:p w14:paraId="57139FD8">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3</w:t>
            </w:r>
          </w:p>
        </w:tc>
        <w:tc>
          <w:tcPr>
            <w:tcW w:w="899" w:type="pct"/>
            <w:vAlign w:val="center"/>
          </w:tcPr>
          <w:p w14:paraId="0C795036">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顶升油缸</w:t>
            </w:r>
          </w:p>
        </w:tc>
        <w:tc>
          <w:tcPr>
            <w:tcW w:w="1849" w:type="pct"/>
            <w:vAlign w:val="center"/>
          </w:tcPr>
          <w:p w14:paraId="0663D644">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外观无瑕疵、往复动作无渗漏</w:t>
            </w:r>
          </w:p>
        </w:tc>
        <w:tc>
          <w:tcPr>
            <w:tcW w:w="1873" w:type="pct"/>
            <w:vAlign w:val="center"/>
          </w:tcPr>
          <w:p w14:paraId="57033B99">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外观检查，接入试验高压油，做往复动作不少于 10 次</w:t>
            </w:r>
          </w:p>
        </w:tc>
      </w:tr>
      <w:tr w14:paraId="49A9E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5" w:hRule="atLeast"/>
          <w:jc w:val="center"/>
        </w:trPr>
        <w:tc>
          <w:tcPr>
            <w:tcW w:w="378" w:type="pct"/>
            <w:vAlign w:val="center"/>
          </w:tcPr>
          <w:p w14:paraId="6BF3B6E3">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4</w:t>
            </w:r>
          </w:p>
        </w:tc>
        <w:tc>
          <w:tcPr>
            <w:tcW w:w="899" w:type="pct"/>
            <w:vAlign w:val="center"/>
          </w:tcPr>
          <w:p w14:paraId="29A5BEAE">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液压控制台</w:t>
            </w:r>
          </w:p>
        </w:tc>
        <w:tc>
          <w:tcPr>
            <w:tcW w:w="1849" w:type="pct"/>
            <w:vAlign w:val="center"/>
          </w:tcPr>
          <w:p w14:paraId="59B72A91">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电器仪表</w:t>
            </w:r>
            <w:r>
              <w:rPr>
                <w:rFonts w:hint="eastAsia" w:cs="宋体"/>
                <w:color w:val="auto"/>
                <w:spacing w:val="3"/>
                <w:sz w:val="21"/>
                <w:szCs w:val="21"/>
                <w:lang w:eastAsia="zh-CN"/>
              </w:rPr>
              <w:t>配置</w:t>
            </w:r>
            <w:r>
              <w:rPr>
                <w:rFonts w:hint="eastAsia" w:ascii="宋体" w:hAnsi="宋体" w:eastAsia="宋体" w:cs="宋体"/>
                <w:color w:val="auto"/>
                <w:spacing w:val="3"/>
                <w:sz w:val="21"/>
                <w:szCs w:val="21"/>
              </w:rPr>
              <w:t>齐全，液压配件密封可靠、压力正常</w:t>
            </w:r>
          </w:p>
        </w:tc>
        <w:tc>
          <w:tcPr>
            <w:tcW w:w="1873" w:type="pct"/>
            <w:vAlign w:val="center"/>
          </w:tcPr>
          <w:p w14:paraId="7CBF4376">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pacing w:val="3"/>
                <w:sz w:val="21"/>
                <w:szCs w:val="21"/>
              </w:rPr>
            </w:pPr>
            <w:r>
              <w:rPr>
                <w:rFonts w:hint="eastAsia" w:ascii="宋体" w:hAnsi="宋体" w:eastAsia="宋体" w:cs="宋体"/>
                <w:color w:val="auto"/>
                <w:spacing w:val="3"/>
                <w:sz w:val="21"/>
                <w:szCs w:val="21"/>
              </w:rPr>
              <w:t>开机检查</w:t>
            </w:r>
          </w:p>
        </w:tc>
      </w:tr>
    </w:tbl>
    <w:p w14:paraId="7D7FE496">
      <w:pPr>
        <w:spacing w:before="1" w:line="219" w:lineRule="auto"/>
        <w:ind w:left="611"/>
        <w:rPr>
          <w:rFonts w:hint="eastAsia" w:ascii="宋体" w:hAnsi="宋体" w:eastAsia="宋体" w:cs="宋体"/>
          <w:color w:val="auto"/>
          <w:spacing w:val="-1"/>
          <w:sz w:val="24"/>
          <w:szCs w:val="24"/>
          <w:lang w:val="en-US" w:eastAsia="zh-CN"/>
        </w:rPr>
      </w:pPr>
    </w:p>
    <w:p w14:paraId="0402875B">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default" w:ascii="Times New Roman" w:hAnsi="Times New Roman" w:eastAsia="黑体" w:cs="Times New Roman"/>
          <w:b w:val="0"/>
          <w:bCs w:val="0"/>
          <w:color w:val="auto"/>
          <w:spacing w:val="6"/>
          <w:sz w:val="21"/>
          <w:szCs w:val="21"/>
          <w:highlight w:val="none"/>
        </w:rPr>
      </w:pPr>
      <w:r>
        <w:rPr>
          <w:rFonts w:hint="default" w:ascii="Times New Roman" w:hAnsi="Times New Roman" w:eastAsia="宋体" w:cs="Times New Roman"/>
          <w:b/>
          <w:bCs/>
          <w:color w:val="auto"/>
          <w:kern w:val="0"/>
          <w:sz w:val="24"/>
          <w:szCs w:val="24"/>
          <w:highlight w:val="none"/>
          <w:lang w:val="en-US" w:eastAsia="zh-CN" w:bidi="ar"/>
        </w:rPr>
        <w:t>7.3.</w:t>
      </w:r>
      <w:r>
        <w:rPr>
          <w:rFonts w:hint="eastAsia" w:cs="Times New Roman"/>
          <w:b/>
          <w:bCs/>
          <w:color w:val="auto"/>
          <w:spacing w:val="-1"/>
          <w:sz w:val="24"/>
          <w:szCs w:val="24"/>
          <w:lang w:val="en-US" w:eastAsia="zh-CN"/>
        </w:rPr>
        <w:t>5</w:t>
      </w:r>
      <w:r>
        <w:rPr>
          <w:rFonts w:hint="default" w:ascii="Times New Roman" w:hAnsi="Times New Roman" w:eastAsia="宋体" w:cs="Times New Roman"/>
          <w:color w:val="auto"/>
          <w:spacing w:val="-1"/>
          <w:sz w:val="24"/>
          <w:szCs w:val="24"/>
          <w:lang w:val="en-US" w:eastAsia="zh-CN"/>
        </w:rPr>
        <w:t xml:space="preserve">  </w:t>
      </w:r>
      <w:r>
        <w:rPr>
          <w:rFonts w:hint="default" w:ascii="Times New Roman" w:hAnsi="Times New Roman" w:eastAsia="宋体" w:cs="Times New Roman"/>
          <w:color w:val="auto"/>
          <w:spacing w:val="-1"/>
          <w:sz w:val="24"/>
          <w:szCs w:val="24"/>
          <w:highlight w:val="none"/>
        </w:rPr>
        <w:t>挂架系统制作技术要求及检验方法</w:t>
      </w:r>
      <w:r>
        <w:rPr>
          <w:rFonts w:hint="eastAsia" w:cs="Times New Roman"/>
          <w:color w:val="auto"/>
          <w:kern w:val="0"/>
          <w:sz w:val="24"/>
          <w:highlight w:val="none"/>
          <w:lang w:val="en-US" w:eastAsia="zh-CN" w:bidi="ar"/>
        </w:rPr>
        <w:t>应</w:t>
      </w:r>
      <w:r>
        <w:rPr>
          <w:rFonts w:hint="eastAsia" w:ascii="Times New Roman" w:hAnsi="Times New Roman" w:eastAsia="宋体" w:cs="Times New Roman"/>
          <w:color w:val="auto"/>
          <w:kern w:val="0"/>
          <w:sz w:val="24"/>
          <w:highlight w:val="none"/>
          <w:lang w:val="en-US" w:eastAsia="zh-CN" w:bidi="ar"/>
        </w:rPr>
        <w:t>符合</w:t>
      </w:r>
      <w:r>
        <w:rPr>
          <w:rFonts w:hint="default" w:ascii="Times New Roman" w:hAnsi="Times New Roman" w:eastAsia="宋体" w:cs="Times New Roman"/>
          <w:color w:val="auto"/>
          <w:kern w:val="0"/>
          <w:sz w:val="24"/>
          <w:highlight w:val="none"/>
          <w:lang w:val="en-US" w:eastAsia="zh-CN" w:bidi="ar"/>
        </w:rPr>
        <w:t>表7.3.</w:t>
      </w:r>
      <w:r>
        <w:rPr>
          <w:rFonts w:hint="eastAsia" w:cs="Times New Roman"/>
          <w:color w:val="auto"/>
          <w:kern w:val="0"/>
          <w:sz w:val="24"/>
          <w:highlight w:val="none"/>
          <w:lang w:val="en-US" w:eastAsia="zh-CN" w:bidi="ar"/>
        </w:rPr>
        <w:t>5</w:t>
      </w:r>
      <w:r>
        <w:rPr>
          <w:rFonts w:hint="eastAsia" w:ascii="Times New Roman" w:hAnsi="Times New Roman" w:eastAsia="宋体" w:cs="Times New Roman"/>
          <w:color w:val="auto"/>
          <w:kern w:val="0"/>
          <w:sz w:val="24"/>
          <w:highlight w:val="none"/>
          <w:lang w:val="en-US" w:eastAsia="zh-CN" w:bidi="ar"/>
        </w:rPr>
        <w:t>的规定，</w:t>
      </w:r>
      <w:r>
        <w:rPr>
          <w:rFonts w:hint="default" w:ascii="Times New Roman" w:hAnsi="Times New Roman" w:eastAsia="宋体" w:cs="Times New Roman"/>
          <w:color w:val="auto"/>
          <w:kern w:val="0"/>
          <w:sz w:val="24"/>
          <w:highlight w:val="none"/>
          <w:lang w:val="en-US" w:eastAsia="zh-CN" w:bidi="ar"/>
        </w:rPr>
        <w:t>检查数量：</w:t>
      </w:r>
      <w:r>
        <w:rPr>
          <w:rFonts w:ascii="宋体" w:hAnsi="宋体" w:eastAsia="宋体" w:cs="宋体"/>
          <w:sz w:val="24"/>
          <w:szCs w:val="24"/>
          <w:highlight w:val="none"/>
        </w:rPr>
        <w:t>每种类型抽查不少于10%，且每种类型不少于10件</w:t>
      </w:r>
      <w:r>
        <w:rPr>
          <w:rFonts w:hint="eastAsia" w:ascii="宋体" w:hAnsi="宋体" w:eastAsia="宋体" w:cs="宋体"/>
          <w:sz w:val="24"/>
          <w:szCs w:val="24"/>
          <w:highlight w:val="none"/>
          <w:lang w:eastAsia="zh-CN"/>
        </w:rPr>
        <w:t>。</w:t>
      </w:r>
    </w:p>
    <w:p w14:paraId="30070BD9">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黑体" w:cs="Times New Roman"/>
          <w:b w:val="0"/>
          <w:bCs w:val="0"/>
          <w:color w:val="auto"/>
          <w:spacing w:val="6"/>
          <w:sz w:val="21"/>
          <w:szCs w:val="21"/>
          <w:highlight w:val="none"/>
          <w:lang w:val="en-US" w:eastAsia="zh-CN"/>
        </w:rPr>
      </w:pPr>
      <w:r>
        <w:rPr>
          <w:rFonts w:hint="default" w:ascii="Times New Roman" w:hAnsi="Times New Roman" w:eastAsia="黑体" w:cs="Times New Roman"/>
          <w:b w:val="0"/>
          <w:bCs w:val="0"/>
          <w:color w:val="auto"/>
          <w:spacing w:val="6"/>
          <w:sz w:val="21"/>
          <w:szCs w:val="21"/>
          <w:highlight w:val="none"/>
        </w:rPr>
        <w:t>表</w:t>
      </w:r>
      <w:r>
        <w:rPr>
          <w:rFonts w:hint="default" w:ascii="Times New Roman" w:hAnsi="Times New Roman" w:eastAsia="黑体" w:cs="Times New Roman"/>
          <w:b w:val="0"/>
          <w:bCs w:val="0"/>
          <w:color w:val="auto"/>
          <w:spacing w:val="6"/>
          <w:sz w:val="21"/>
          <w:szCs w:val="21"/>
          <w:highlight w:val="none"/>
          <w:lang w:val="en-US" w:eastAsia="zh-CN"/>
        </w:rPr>
        <w:t>7.3.</w:t>
      </w:r>
      <w:r>
        <w:rPr>
          <w:rFonts w:hint="eastAsia" w:eastAsia="黑体" w:cs="Times New Roman"/>
          <w:b w:val="0"/>
          <w:bCs w:val="0"/>
          <w:color w:val="auto"/>
          <w:spacing w:val="6"/>
          <w:sz w:val="21"/>
          <w:szCs w:val="21"/>
          <w:highlight w:val="none"/>
          <w:lang w:val="en-US" w:eastAsia="zh-CN"/>
        </w:rPr>
        <w:t>5</w:t>
      </w:r>
      <w:r>
        <w:rPr>
          <w:rFonts w:hint="default" w:ascii="Times New Roman" w:hAnsi="Times New Roman" w:eastAsia="黑体" w:cs="Times New Roman"/>
          <w:b w:val="0"/>
          <w:bCs w:val="0"/>
          <w:color w:val="auto"/>
          <w:spacing w:val="6"/>
          <w:sz w:val="21"/>
          <w:szCs w:val="21"/>
          <w:highlight w:val="none"/>
        </w:rPr>
        <w:t xml:space="preserve"> 挂架系统制作技术要求及检验方法</w:t>
      </w:r>
    </w:p>
    <w:tbl>
      <w:tblPr>
        <w:tblStyle w:val="66"/>
        <w:tblW w:w="49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10"/>
        <w:gridCol w:w="1341"/>
        <w:gridCol w:w="4269"/>
        <w:gridCol w:w="2697"/>
      </w:tblGrid>
      <w:tr w14:paraId="16F2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342" w:type="pct"/>
            <w:vAlign w:val="center"/>
          </w:tcPr>
          <w:p w14:paraId="528CE54A">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黑体" w:cs="Times New Roman"/>
                <w:b w:val="0"/>
                <w:bCs w:val="0"/>
                <w:color w:val="auto"/>
                <w:spacing w:val="3"/>
                <w:sz w:val="21"/>
                <w:szCs w:val="21"/>
              </w:rPr>
            </w:pPr>
            <w:r>
              <w:rPr>
                <w:rFonts w:hint="default" w:ascii="Times New Roman" w:hAnsi="Times New Roman" w:eastAsia="黑体" w:cs="Times New Roman"/>
                <w:b w:val="0"/>
                <w:bCs w:val="0"/>
                <w:color w:val="auto"/>
                <w:spacing w:val="3"/>
                <w:sz w:val="21"/>
                <w:szCs w:val="21"/>
              </w:rPr>
              <w:t>项次</w:t>
            </w:r>
          </w:p>
        </w:tc>
        <w:tc>
          <w:tcPr>
            <w:tcW w:w="752" w:type="pct"/>
            <w:vAlign w:val="center"/>
          </w:tcPr>
          <w:p w14:paraId="34044A33">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黑体" w:cs="Times New Roman"/>
                <w:b w:val="0"/>
                <w:bCs w:val="0"/>
                <w:color w:val="auto"/>
                <w:spacing w:val="3"/>
                <w:sz w:val="21"/>
                <w:szCs w:val="21"/>
              </w:rPr>
            </w:pPr>
            <w:r>
              <w:rPr>
                <w:rFonts w:hint="default" w:ascii="Times New Roman" w:hAnsi="Times New Roman" w:eastAsia="黑体" w:cs="Times New Roman"/>
                <w:b w:val="0"/>
                <w:bCs w:val="0"/>
                <w:color w:val="auto"/>
                <w:spacing w:val="3"/>
                <w:sz w:val="21"/>
                <w:szCs w:val="21"/>
              </w:rPr>
              <w:t>项目</w:t>
            </w:r>
          </w:p>
        </w:tc>
        <w:tc>
          <w:tcPr>
            <w:tcW w:w="2393" w:type="pct"/>
            <w:vAlign w:val="center"/>
          </w:tcPr>
          <w:p w14:paraId="2D0B400E">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黑体" w:cs="Times New Roman"/>
                <w:b w:val="0"/>
                <w:bCs w:val="0"/>
                <w:color w:val="auto"/>
                <w:spacing w:val="3"/>
                <w:sz w:val="21"/>
                <w:szCs w:val="21"/>
              </w:rPr>
            </w:pPr>
            <w:r>
              <w:rPr>
                <w:rFonts w:hint="default" w:ascii="Times New Roman" w:hAnsi="Times New Roman" w:eastAsia="黑体" w:cs="Times New Roman"/>
                <w:b w:val="0"/>
                <w:bCs w:val="0"/>
                <w:color w:val="auto"/>
                <w:spacing w:val="3"/>
                <w:sz w:val="21"/>
                <w:szCs w:val="21"/>
              </w:rPr>
              <w:t>允许偏差（mm）</w:t>
            </w:r>
          </w:p>
        </w:tc>
        <w:tc>
          <w:tcPr>
            <w:tcW w:w="1512" w:type="pct"/>
            <w:vAlign w:val="center"/>
          </w:tcPr>
          <w:p w14:paraId="3E898EC1">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黑体" w:cs="Times New Roman"/>
                <w:b w:val="0"/>
                <w:bCs w:val="0"/>
                <w:color w:val="auto"/>
                <w:spacing w:val="3"/>
                <w:sz w:val="21"/>
                <w:szCs w:val="21"/>
              </w:rPr>
            </w:pPr>
            <w:r>
              <w:rPr>
                <w:rFonts w:hint="default" w:ascii="Times New Roman" w:hAnsi="Times New Roman" w:eastAsia="黑体" w:cs="Times New Roman"/>
                <w:b w:val="0"/>
                <w:bCs w:val="0"/>
                <w:color w:val="auto"/>
                <w:spacing w:val="3"/>
                <w:sz w:val="21"/>
                <w:szCs w:val="21"/>
              </w:rPr>
              <w:t>检验方法</w:t>
            </w:r>
          </w:p>
        </w:tc>
      </w:tr>
      <w:tr w14:paraId="27D3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342" w:type="pct"/>
            <w:vAlign w:val="center"/>
          </w:tcPr>
          <w:p w14:paraId="2D16BF2C">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1</w:t>
            </w:r>
          </w:p>
        </w:tc>
        <w:tc>
          <w:tcPr>
            <w:tcW w:w="752" w:type="pct"/>
            <w:vAlign w:val="center"/>
          </w:tcPr>
          <w:p w14:paraId="424F3E88">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吊杆</w:t>
            </w:r>
          </w:p>
        </w:tc>
        <w:tc>
          <w:tcPr>
            <w:tcW w:w="2393" w:type="pct"/>
            <w:vAlign w:val="center"/>
          </w:tcPr>
          <w:p w14:paraId="3B11EA62">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直线度偏差为 2/1000</w:t>
            </w:r>
          </w:p>
        </w:tc>
        <w:tc>
          <w:tcPr>
            <w:tcW w:w="1512" w:type="pct"/>
            <w:vAlign w:val="center"/>
          </w:tcPr>
          <w:p w14:paraId="40021304">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用三坐标检测仪检查</w:t>
            </w:r>
          </w:p>
        </w:tc>
      </w:tr>
      <w:tr w14:paraId="1A2A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342" w:type="pct"/>
            <w:vAlign w:val="center"/>
          </w:tcPr>
          <w:p w14:paraId="61512FBD">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2</w:t>
            </w:r>
          </w:p>
        </w:tc>
        <w:tc>
          <w:tcPr>
            <w:tcW w:w="752" w:type="pct"/>
            <w:vAlign w:val="center"/>
          </w:tcPr>
          <w:p w14:paraId="0A94A1CE">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吊耳</w:t>
            </w:r>
          </w:p>
        </w:tc>
        <w:tc>
          <w:tcPr>
            <w:tcW w:w="2393" w:type="pct"/>
            <w:vAlign w:val="center"/>
          </w:tcPr>
          <w:p w14:paraId="3413D44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螺栓孔位置允许偏差为±1mm</w:t>
            </w:r>
          </w:p>
        </w:tc>
        <w:tc>
          <w:tcPr>
            <w:tcW w:w="1512" w:type="pct"/>
            <w:vAlign w:val="center"/>
          </w:tcPr>
          <w:p w14:paraId="7ED3EA19">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pacing w:val="3"/>
                <w:sz w:val="21"/>
                <w:szCs w:val="21"/>
              </w:rPr>
              <w:t>用钢尺检查</w:t>
            </w:r>
          </w:p>
        </w:tc>
      </w:tr>
      <w:tr w14:paraId="3D43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342" w:type="pct"/>
            <w:vAlign w:val="center"/>
          </w:tcPr>
          <w:p w14:paraId="15015626">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3</w:t>
            </w:r>
          </w:p>
        </w:tc>
        <w:tc>
          <w:tcPr>
            <w:tcW w:w="752" w:type="pct"/>
            <w:vAlign w:val="center"/>
          </w:tcPr>
          <w:p w14:paraId="0ACA3710">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ascii="宋体" w:hAnsi="宋体" w:eastAsia="宋体" w:cs="宋体"/>
                <w:sz w:val="21"/>
                <w:szCs w:val="21"/>
              </w:rPr>
              <w:t xml:space="preserve">滑梁  </w:t>
            </w:r>
          </w:p>
        </w:tc>
        <w:tc>
          <w:tcPr>
            <w:tcW w:w="2393" w:type="pct"/>
            <w:vAlign w:val="center"/>
          </w:tcPr>
          <w:p w14:paraId="4D9110CA">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ascii="宋体" w:hAnsi="宋体" w:eastAsia="宋体" w:cs="宋体"/>
                <w:sz w:val="21"/>
                <w:szCs w:val="21"/>
              </w:rPr>
              <w:t>翼缘平面度允许偏差为1mm</w:t>
            </w:r>
          </w:p>
        </w:tc>
        <w:tc>
          <w:tcPr>
            <w:tcW w:w="1512" w:type="pct"/>
            <w:vAlign w:val="center"/>
          </w:tcPr>
          <w:p w14:paraId="5B5596B7">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ascii="宋体" w:hAnsi="宋体" w:eastAsia="宋体" w:cs="宋体"/>
                <w:sz w:val="21"/>
                <w:szCs w:val="21"/>
              </w:rPr>
              <w:t>用靠尺、塞尺检查</w:t>
            </w:r>
          </w:p>
        </w:tc>
      </w:tr>
      <w:tr w14:paraId="6B7B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342" w:type="pct"/>
            <w:vAlign w:val="center"/>
          </w:tcPr>
          <w:p w14:paraId="13080D85">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pacing w:val="3"/>
                <w:sz w:val="21"/>
                <w:szCs w:val="21"/>
                <w:lang w:eastAsia="zh-CN"/>
              </w:rPr>
            </w:pPr>
            <w:r>
              <w:rPr>
                <w:rFonts w:hint="eastAsia" w:ascii="Times New Roman" w:hAnsi="Times New Roman" w:cs="Times New Roman"/>
                <w:color w:val="auto"/>
                <w:spacing w:val="3"/>
                <w:sz w:val="21"/>
                <w:szCs w:val="21"/>
                <w:lang w:val="en-US" w:eastAsia="zh-CN"/>
              </w:rPr>
              <w:t>4</w:t>
            </w:r>
          </w:p>
        </w:tc>
        <w:tc>
          <w:tcPr>
            <w:tcW w:w="752" w:type="pct"/>
            <w:shd w:val="clear" w:color="auto" w:fill="auto"/>
            <w:vAlign w:val="center"/>
          </w:tcPr>
          <w:p w14:paraId="6CBC6AC2">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滑轮</w:t>
            </w:r>
          </w:p>
        </w:tc>
        <w:tc>
          <w:tcPr>
            <w:tcW w:w="2393" w:type="pct"/>
            <w:shd w:val="clear" w:color="auto" w:fill="auto"/>
            <w:vAlign w:val="center"/>
          </w:tcPr>
          <w:p w14:paraId="39A1B8D9">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轴承能自由转动，螺栓连接可靠</w:t>
            </w:r>
          </w:p>
        </w:tc>
        <w:tc>
          <w:tcPr>
            <w:tcW w:w="1512" w:type="pct"/>
            <w:shd w:val="clear" w:color="auto" w:fill="auto"/>
            <w:vAlign w:val="center"/>
          </w:tcPr>
          <w:p w14:paraId="38EA64B9">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观察、用扳手检查</w:t>
            </w:r>
          </w:p>
        </w:tc>
      </w:tr>
      <w:tr w14:paraId="3064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342" w:type="pct"/>
            <w:vAlign w:val="center"/>
          </w:tcPr>
          <w:p w14:paraId="37CE57E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pacing w:val="3"/>
                <w:sz w:val="21"/>
                <w:szCs w:val="21"/>
                <w:lang w:eastAsia="zh-CN"/>
              </w:rPr>
            </w:pPr>
            <w:r>
              <w:rPr>
                <w:rFonts w:hint="eastAsia" w:ascii="Times New Roman" w:hAnsi="Times New Roman" w:cs="Times New Roman"/>
                <w:color w:val="auto"/>
                <w:spacing w:val="3"/>
                <w:sz w:val="21"/>
                <w:szCs w:val="21"/>
                <w:lang w:val="en-US" w:eastAsia="zh-CN"/>
              </w:rPr>
              <w:t>5</w:t>
            </w:r>
          </w:p>
        </w:tc>
        <w:tc>
          <w:tcPr>
            <w:tcW w:w="752" w:type="pct"/>
            <w:shd w:val="clear" w:color="auto" w:fill="auto"/>
            <w:vAlign w:val="center"/>
          </w:tcPr>
          <w:p w14:paraId="67356C21">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钢板网</w:t>
            </w:r>
          </w:p>
        </w:tc>
        <w:tc>
          <w:tcPr>
            <w:tcW w:w="2393" w:type="pct"/>
            <w:shd w:val="clear" w:color="auto" w:fill="auto"/>
            <w:vAlign w:val="center"/>
          </w:tcPr>
          <w:p w14:paraId="07602DD3">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与边框的搭接长度不应小于 20mm</w:t>
            </w:r>
          </w:p>
        </w:tc>
        <w:tc>
          <w:tcPr>
            <w:tcW w:w="1512" w:type="pct"/>
            <w:shd w:val="clear" w:color="auto" w:fill="auto"/>
            <w:vAlign w:val="center"/>
          </w:tcPr>
          <w:p w14:paraId="43D23817">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用钢尺检查</w:t>
            </w:r>
          </w:p>
        </w:tc>
      </w:tr>
      <w:tr w14:paraId="2ECE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342" w:type="pct"/>
            <w:vAlign w:val="center"/>
          </w:tcPr>
          <w:p w14:paraId="338C89AE">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pacing w:val="3"/>
                <w:sz w:val="21"/>
                <w:szCs w:val="21"/>
                <w:lang w:eastAsia="zh-CN"/>
              </w:rPr>
            </w:pPr>
            <w:r>
              <w:rPr>
                <w:rFonts w:hint="eastAsia" w:ascii="Times New Roman" w:hAnsi="Times New Roman" w:cs="Times New Roman"/>
                <w:color w:val="auto"/>
                <w:spacing w:val="3"/>
                <w:sz w:val="21"/>
                <w:szCs w:val="21"/>
                <w:lang w:val="en-US" w:eastAsia="zh-CN"/>
              </w:rPr>
              <w:t>6</w:t>
            </w:r>
          </w:p>
        </w:tc>
        <w:tc>
          <w:tcPr>
            <w:tcW w:w="752" w:type="pct"/>
            <w:shd w:val="clear" w:color="auto" w:fill="auto"/>
            <w:vAlign w:val="center"/>
          </w:tcPr>
          <w:p w14:paraId="60D9CFE5">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翻板</w:t>
            </w:r>
          </w:p>
        </w:tc>
        <w:tc>
          <w:tcPr>
            <w:tcW w:w="2393" w:type="pct"/>
            <w:shd w:val="clear" w:color="auto" w:fill="auto"/>
            <w:vAlign w:val="center"/>
          </w:tcPr>
          <w:p w14:paraId="2139D6CB">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与边框的搭接长度不应小于 20mm</w:t>
            </w:r>
          </w:p>
        </w:tc>
        <w:tc>
          <w:tcPr>
            <w:tcW w:w="1512" w:type="pct"/>
            <w:shd w:val="clear" w:color="auto" w:fill="auto"/>
            <w:vAlign w:val="center"/>
          </w:tcPr>
          <w:p w14:paraId="0D17E1EE">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用钢尺检查</w:t>
            </w:r>
          </w:p>
        </w:tc>
      </w:tr>
      <w:tr w14:paraId="7A19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342" w:type="pct"/>
            <w:vAlign w:val="center"/>
          </w:tcPr>
          <w:p w14:paraId="2E0F1A8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pacing w:val="3"/>
                <w:sz w:val="21"/>
                <w:szCs w:val="21"/>
                <w:lang w:eastAsia="zh-CN"/>
              </w:rPr>
            </w:pPr>
            <w:r>
              <w:rPr>
                <w:rFonts w:hint="eastAsia" w:ascii="Times New Roman" w:hAnsi="Times New Roman" w:cs="Times New Roman"/>
                <w:color w:val="auto"/>
                <w:spacing w:val="3"/>
                <w:sz w:val="21"/>
                <w:szCs w:val="21"/>
                <w:lang w:val="en-US" w:eastAsia="zh-CN"/>
              </w:rPr>
              <w:t>7</w:t>
            </w:r>
          </w:p>
        </w:tc>
        <w:tc>
          <w:tcPr>
            <w:tcW w:w="752" w:type="pct"/>
            <w:shd w:val="clear" w:color="auto" w:fill="auto"/>
            <w:vAlign w:val="center"/>
          </w:tcPr>
          <w:p w14:paraId="258CD3CD">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楼梯</w:t>
            </w:r>
          </w:p>
        </w:tc>
        <w:tc>
          <w:tcPr>
            <w:tcW w:w="2393" w:type="pct"/>
            <w:shd w:val="clear" w:color="auto" w:fill="auto"/>
            <w:vAlign w:val="center"/>
          </w:tcPr>
          <w:p w14:paraId="6B3F9B36">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角度允许偏差为±2°</w:t>
            </w:r>
          </w:p>
        </w:tc>
        <w:tc>
          <w:tcPr>
            <w:tcW w:w="1512" w:type="pct"/>
            <w:shd w:val="clear" w:color="auto" w:fill="auto"/>
            <w:vAlign w:val="center"/>
          </w:tcPr>
          <w:p w14:paraId="1AD80C85">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用角度尺检查</w:t>
            </w:r>
          </w:p>
        </w:tc>
      </w:tr>
      <w:tr w14:paraId="626A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342" w:type="pct"/>
            <w:vAlign w:val="center"/>
          </w:tcPr>
          <w:p w14:paraId="7BD9887B">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pacing w:val="3"/>
                <w:sz w:val="21"/>
                <w:szCs w:val="21"/>
                <w:lang w:eastAsia="zh-CN"/>
              </w:rPr>
            </w:pPr>
            <w:r>
              <w:rPr>
                <w:rFonts w:hint="eastAsia" w:ascii="Times New Roman" w:hAnsi="Times New Roman" w:cs="Times New Roman"/>
                <w:color w:val="auto"/>
                <w:spacing w:val="3"/>
                <w:sz w:val="21"/>
                <w:szCs w:val="21"/>
                <w:lang w:val="en-US" w:eastAsia="zh-CN"/>
              </w:rPr>
              <w:t>8</w:t>
            </w:r>
          </w:p>
        </w:tc>
        <w:tc>
          <w:tcPr>
            <w:tcW w:w="752" w:type="pct"/>
            <w:shd w:val="clear" w:color="auto" w:fill="auto"/>
            <w:vAlign w:val="center"/>
          </w:tcPr>
          <w:p w14:paraId="4836C58B">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走道板</w:t>
            </w:r>
          </w:p>
        </w:tc>
        <w:tc>
          <w:tcPr>
            <w:tcW w:w="2393" w:type="pct"/>
            <w:shd w:val="clear" w:color="auto" w:fill="auto"/>
            <w:vAlign w:val="center"/>
          </w:tcPr>
          <w:p w14:paraId="01103B95">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与边框的搭接长度不应小于 20mm</w:t>
            </w:r>
          </w:p>
        </w:tc>
        <w:tc>
          <w:tcPr>
            <w:tcW w:w="1512" w:type="pct"/>
            <w:shd w:val="clear" w:color="auto" w:fill="auto"/>
            <w:vAlign w:val="center"/>
          </w:tcPr>
          <w:p w14:paraId="253EEBAE">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pacing w:val="3"/>
                <w:kern w:val="2"/>
                <w:sz w:val="21"/>
                <w:szCs w:val="21"/>
                <w:lang w:val="en-US" w:eastAsia="en-US" w:bidi="ar-SA"/>
              </w:rPr>
            </w:pPr>
            <w:r>
              <w:rPr>
                <w:rFonts w:hint="default" w:ascii="Times New Roman" w:hAnsi="Times New Roman" w:eastAsia="宋体" w:cs="Times New Roman"/>
                <w:color w:val="auto"/>
                <w:spacing w:val="3"/>
                <w:sz w:val="21"/>
                <w:szCs w:val="21"/>
              </w:rPr>
              <w:t>用钢尺检查</w:t>
            </w:r>
          </w:p>
        </w:tc>
      </w:tr>
    </w:tbl>
    <w:p w14:paraId="3DF419C7">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cs="Times New Roman"/>
          <w:color w:val="auto"/>
          <w:kern w:val="0"/>
          <w:sz w:val="24"/>
          <w:highlight w:val="none"/>
          <w:lang w:val="en-US" w:eastAsia="zh-CN" w:bidi="ar"/>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3</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highlight w:val="none"/>
          <w:lang w:val="en-US" w:eastAsia="zh-CN" w:bidi="ar"/>
        </w:rPr>
        <w:t>6</w:t>
      </w:r>
      <w:r>
        <w:rPr>
          <w:rFonts w:hint="eastAsia" w:cs="Times New Roman"/>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技术资料核查</w:t>
      </w:r>
    </w:p>
    <w:p w14:paraId="5E40E17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核查原材料质量证明文件、焊缝探伤报告、焊接质量检验记录、部件调试记录等出厂技术资料。</w:t>
      </w:r>
    </w:p>
    <w:p w14:paraId="4A759899">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cs="Times New Roman"/>
          <w:color w:val="auto"/>
          <w:kern w:val="0"/>
          <w:sz w:val="24"/>
          <w:highlight w:val="none"/>
          <w:lang w:val="en-US" w:eastAsia="zh-CN" w:bidi="ar"/>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3</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highlight w:val="none"/>
          <w:lang w:val="en-US" w:eastAsia="zh-CN" w:bidi="ar"/>
        </w:rPr>
        <w:t xml:space="preserve">7  </w:t>
      </w:r>
      <w:r>
        <w:rPr>
          <w:rFonts w:hint="default" w:ascii="Times New Roman" w:hAnsi="Times New Roman" w:eastAsia="宋体" w:cs="Times New Roman"/>
          <w:color w:val="auto"/>
          <w:kern w:val="0"/>
          <w:sz w:val="24"/>
          <w:highlight w:val="none"/>
          <w:lang w:val="en-US" w:eastAsia="zh-CN" w:bidi="ar"/>
        </w:rPr>
        <w:t>合格证签发</w:t>
      </w:r>
    </w:p>
    <w:p w14:paraId="22AFA02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color w:val="000000" w:themeColor="text1"/>
          <w14:textFill>
            <w14:solidFill>
              <w14:schemeClr w14:val="tx1"/>
            </w14:solidFill>
          </w14:textFill>
        </w:rPr>
      </w:pPr>
      <w:r>
        <w:rPr>
          <w:rFonts w:hint="default" w:ascii="Times New Roman" w:hAnsi="Times New Roman" w:eastAsia="宋体" w:cs="Times New Roman"/>
          <w:color w:val="auto"/>
          <w:kern w:val="0"/>
          <w:sz w:val="24"/>
          <w:highlight w:val="none"/>
          <w:lang w:val="en-US" w:eastAsia="zh-CN" w:bidi="ar"/>
        </w:rPr>
        <w:t>当所有检验项目均满足设计及规范要求时，方可签发产品出厂合格证。合格证中应注明产品名称、型号、编号、主要技术参数、检验依据、制造商名称及出厂日期。</w:t>
      </w:r>
    </w:p>
    <w:p w14:paraId="60B3BEFE">
      <w:pPr>
        <w:rPr>
          <w:rFonts w:hint="eastAsia"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br w:type="page"/>
      </w:r>
    </w:p>
    <w:p w14:paraId="6C49C53F">
      <w:pPr>
        <w:pStyle w:val="2"/>
        <w:bidi w:val="0"/>
        <w:rPr>
          <w:rFonts w:hint="eastAsia" w:cs="Times New Roman"/>
          <w:b/>
          <w:bCs/>
          <w:color w:val="000000" w:themeColor="text1"/>
          <w:kern w:val="0"/>
          <w:sz w:val="24"/>
          <w:szCs w:val="24"/>
          <w:highlight w:val="none"/>
          <w:lang w:val="en-US" w:eastAsia="zh-CN" w:bidi="ar"/>
          <w14:textFill>
            <w14:solidFill>
              <w14:schemeClr w14:val="tx1"/>
            </w14:solidFill>
          </w14:textFill>
        </w:rPr>
      </w:pPr>
      <w:bookmarkStart w:id="166" w:name="_Toc19385"/>
      <w:r>
        <w:rPr>
          <w:rFonts w:hint="eastAsia"/>
          <w:color w:val="000000" w:themeColor="text1"/>
          <w:lang w:val="en-US" w:eastAsia="zh-CN"/>
          <w14:textFill>
            <w14:solidFill>
              <w14:schemeClr w14:val="tx1"/>
            </w14:solidFill>
          </w14:textFill>
        </w:rPr>
        <w:t>第8章</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平台安装与调试</w:t>
      </w:r>
      <w:bookmarkEnd w:id="166"/>
    </w:p>
    <w:p w14:paraId="67145AF4">
      <w:pPr>
        <w:pStyle w:val="3"/>
        <w:bidi w:val="0"/>
        <w:rPr>
          <w:rFonts w:hint="eastAsia" w:cs="Times New Roman"/>
          <w:b/>
          <w:bCs/>
          <w:color w:val="000000" w:themeColor="text1"/>
          <w:kern w:val="0"/>
          <w:sz w:val="24"/>
          <w:szCs w:val="24"/>
          <w:highlight w:val="none"/>
          <w:lang w:val="en-US" w:eastAsia="zh-CN" w:bidi="ar"/>
          <w14:textFill>
            <w14:solidFill>
              <w14:schemeClr w14:val="tx1"/>
            </w14:solidFill>
          </w14:textFill>
        </w:rPr>
      </w:pPr>
      <w:bookmarkStart w:id="167" w:name="_Toc19811"/>
      <w:r>
        <w:rPr>
          <w:rFonts w:hint="eastAsia"/>
          <w:color w:val="000000" w:themeColor="text1"/>
          <w:lang w:val="en-US" w:eastAsia="zh-CN"/>
          <w14:textFill>
            <w14:solidFill>
              <w14:schemeClr w14:val="tx1"/>
            </w14:solidFill>
          </w14:textFill>
        </w:rPr>
        <w:t>8</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平台安装</w:t>
      </w:r>
      <w:bookmarkEnd w:id="167"/>
    </w:p>
    <w:p w14:paraId="68711C0C">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t>8</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1</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 xml:space="preserve">.1  </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安装</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准备</w:t>
      </w:r>
    </w:p>
    <w:p w14:paraId="27886143">
      <w:pPr>
        <w:ind w:firstLine="482" w:firstLineChars="200"/>
        <w:rPr>
          <w:rFonts w:hint="default" w:eastAsia="宋体"/>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应编制集成平台专项施工方案，并进行安装作业模拟计算。</w:t>
      </w:r>
    </w:p>
    <w:p w14:paraId="6DCF8C6A">
      <w:pPr>
        <w:ind w:firstLine="482" w:firstLineChars="200"/>
        <w:rPr>
          <w:rFonts w:hint="default" w:eastAsia="宋体"/>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应完成安装作业人员安全作业交底。</w:t>
      </w:r>
    </w:p>
    <w:p w14:paraId="252BD8F3">
      <w:pPr>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应完成集成平台分系统、分批次进场验收。验收内容应包括规格和数量、产品质量证明文件和材质检验报告。</w:t>
      </w:r>
    </w:p>
    <w:p w14:paraId="32C2A153">
      <w:pPr>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eastAsia"/>
          <w:b w:val="0"/>
          <w:bCs w:val="0"/>
          <w:color w:val="000000" w:themeColor="text1"/>
          <w:lang w:val="en-US" w:eastAsia="zh-CN"/>
          <w14:textFill>
            <w14:solidFill>
              <w14:schemeClr w14:val="tx1"/>
            </w14:solidFill>
          </w14:textFill>
        </w:rPr>
        <w:t xml:space="preserve">  起重设备和其他安装辅助用具的机械性能和安全性能应满足安装要求。</w:t>
      </w:r>
    </w:p>
    <w:p w14:paraId="6399D303">
      <w:pPr>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eastAsia"/>
          <w:b w:val="0"/>
          <w:bCs w:val="0"/>
          <w:color w:val="000000" w:themeColor="text1"/>
          <w:lang w:val="en-US" w:eastAsia="zh-CN"/>
          <w14:textFill>
            <w14:solidFill>
              <w14:schemeClr w14:val="tx1"/>
            </w14:solidFill>
          </w14:textFill>
        </w:rPr>
        <w:t xml:space="preserve">  支座位置混凝土强度和质量应满足安装要求。</w:t>
      </w:r>
    </w:p>
    <w:p w14:paraId="240D9F28">
      <w:pPr>
        <w:ind w:firstLine="482" w:firstLineChars="200"/>
        <w:rPr>
          <w:rFonts w:hint="default"/>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6</w:t>
      </w:r>
      <w:r>
        <w:rPr>
          <w:rFonts w:hint="eastAsia"/>
          <w:b w:val="0"/>
          <w:bCs w:val="0"/>
          <w:color w:val="000000" w:themeColor="text1"/>
          <w:lang w:val="en-US" w:eastAsia="zh-CN"/>
          <w14:textFill>
            <w14:solidFill>
              <w14:schemeClr w14:val="tx1"/>
            </w14:solidFill>
          </w14:textFill>
        </w:rPr>
        <w:t xml:space="preserve">  预埋件、胎架等安装措施应满足安装要求。</w:t>
      </w:r>
    </w:p>
    <w:p w14:paraId="12EFFB4C">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t>8</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1</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 xml:space="preserve">.2  </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安装工艺流程</w:t>
      </w:r>
    </w:p>
    <w:p w14:paraId="21D1989F">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eastAsia" w:cs="Times New Roman"/>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1</w:t>
      </w:r>
      <w:r>
        <w:rPr>
          <w:rFonts w:hint="eastAsia" w:cs="Times New Roman"/>
          <w:color w:val="000000" w:themeColor="text1"/>
          <w:kern w:val="0"/>
          <w:sz w:val="24"/>
          <w:highlight w:val="none"/>
          <w:lang w:val="en-US" w:eastAsia="zh-CN" w:bidi="ar"/>
          <w14:textFill>
            <w14:solidFill>
              <w14:schemeClr w14:val="tx1"/>
            </w14:solidFill>
          </w14:textFill>
        </w:rPr>
        <w:t xml:space="preserve">  宜按照支承及钢平台系统、动力系统、集成设施装备、电气系统的顺序进行安装。</w:t>
      </w:r>
    </w:p>
    <w:p w14:paraId="06EAD326">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cs="Times New Roman"/>
          <w:color w:val="000000" w:themeColor="text1"/>
          <w:kern w:val="0"/>
          <w:sz w:val="24"/>
          <w:highlight w:val="none"/>
          <w:lang w:val="en-US" w:eastAsia="zh-CN" w:bidi="ar"/>
          <w14:textFill>
            <w14:solidFill>
              <w14:schemeClr w14:val="tx1"/>
            </w14:solidFill>
          </w14:textFill>
        </w:rPr>
      </w:pPr>
      <w:r>
        <w:rPr>
          <w:rFonts w:hint="eastAsia" w:cs="Times New Roman"/>
          <w:color w:val="000000" w:themeColor="text1"/>
          <w:kern w:val="0"/>
          <w:sz w:val="24"/>
          <w:highlight w:val="none"/>
          <w:lang w:val="en-US" w:eastAsia="zh-CN" w:bidi="ar"/>
          <w14:textFill>
            <w14:solidFill>
              <w14:schemeClr w14:val="tx1"/>
            </w14:solidFill>
          </w14:textFill>
        </w:rPr>
        <w:t>具体为：钢平台系统、挂架系统等构件预拼装；支承结构及液压系统安装；钢平台主受力构件安装；钢平台次受力构件安装；悬挂结构安装；集成装备安装；监测系统安装； 动力系统安装与调试；试顶升及整体验收。</w:t>
      </w:r>
    </w:p>
    <w:p w14:paraId="43DCAB58">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2</w:t>
      </w:r>
      <w:r>
        <w:rPr>
          <w:rFonts w:hint="eastAsia" w:cs="Times New Roman"/>
          <w:color w:val="000000" w:themeColor="text1"/>
          <w:kern w:val="0"/>
          <w:sz w:val="24"/>
          <w:highlight w:val="none"/>
          <w:lang w:val="en-US" w:eastAsia="zh-CN" w:bidi="ar"/>
          <w14:textFill>
            <w14:solidFill>
              <w14:schemeClr w14:val="tx1"/>
            </w14:solidFill>
          </w14:textFill>
        </w:rPr>
        <w:t xml:space="preserve">  钢平台系统宜按</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地面组装</w:t>
      </w:r>
      <w:r>
        <w:rPr>
          <w:rFonts w:hint="eastAsia" w:cs="Times New Roman"/>
          <w:color w:val="000000" w:themeColor="text1"/>
          <w:kern w:val="0"/>
          <w:sz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分段吊装</w:t>
      </w:r>
      <w:r>
        <w:rPr>
          <w:rFonts w:hint="eastAsia" w:cs="Times New Roman"/>
          <w:color w:val="000000" w:themeColor="text1"/>
          <w:kern w:val="0"/>
          <w:sz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高空拼装</w:t>
      </w:r>
      <w:r>
        <w:rPr>
          <w:rFonts w:hint="eastAsia" w:cs="Times New Roman"/>
          <w:color w:val="000000" w:themeColor="text1"/>
          <w:kern w:val="0"/>
          <w:sz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系统联装</w:t>
      </w:r>
      <w:r>
        <w:rPr>
          <w:rFonts w:hint="eastAsia" w:cs="Times New Roman"/>
          <w:color w:val="000000" w:themeColor="text1"/>
          <w:kern w:val="0"/>
          <w:sz w:val="24"/>
          <w:highlight w:val="none"/>
          <w:lang w:val="en-US" w:eastAsia="zh-CN" w:bidi="ar"/>
          <w14:textFill>
            <w14:solidFill>
              <w14:schemeClr w14:val="tx1"/>
            </w14:solidFill>
          </w14:textFill>
        </w:rPr>
        <w:t>的顺序安装</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w:t>
      </w:r>
    </w:p>
    <w:p w14:paraId="44C9A0E9">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t>8</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1</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 xml:space="preserve">  </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各子系统安装要求</w:t>
      </w:r>
    </w:p>
    <w:p w14:paraId="0B2064F5">
      <w:pPr>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val="0"/>
          <w:bCs w:val="0"/>
          <w:color w:val="000000" w:themeColor="text1"/>
          <w:lang w:val="en-US" w:eastAsia="zh-CN"/>
          <w14:textFill>
            <w14:solidFill>
              <w14:schemeClr w14:val="tx1"/>
            </w14:solidFill>
          </w14:textFill>
        </w:rPr>
        <w:t xml:space="preserve">  支</w:t>
      </w:r>
      <w:r>
        <w:rPr>
          <w:rFonts w:hint="eastAsia" w:cs="Times New Roman"/>
          <w:color w:val="000000" w:themeColor="text1"/>
          <w:kern w:val="0"/>
          <w:sz w:val="24"/>
          <w:highlight w:val="none"/>
          <w:lang w:val="en-US" w:eastAsia="zh-CN" w:bidi="ar"/>
          <w14:textFill>
            <w14:solidFill>
              <w14:schemeClr w14:val="tx1"/>
            </w14:solidFill>
          </w14:textFill>
        </w:rPr>
        <w:t>承</w:t>
      </w:r>
      <w:r>
        <w:rPr>
          <w:rFonts w:hint="eastAsia"/>
          <w:b w:val="0"/>
          <w:bCs w:val="0"/>
          <w:color w:val="000000" w:themeColor="text1"/>
          <w:lang w:val="en-US" w:eastAsia="zh-CN"/>
          <w14:textFill>
            <w14:solidFill>
              <w14:schemeClr w14:val="tx1"/>
            </w14:solidFill>
          </w14:textFill>
        </w:rPr>
        <w:t>系统安装前应复测承力件的标高、垂直度及轴线位置，安装后再次复测承力件的标高、垂直度及轴线位置。</w:t>
      </w:r>
    </w:p>
    <w:p w14:paraId="074FDA72">
      <w:pPr>
        <w:ind w:firstLine="480" w:firstLineChars="20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附墙件安装前模板应完全拆除，对埋件进行复测，并做好记录，对墙体凸出部分进行打凿处理。对于偏差较大的孔位应进行重新定位钻孔。</w:t>
      </w:r>
    </w:p>
    <w:p w14:paraId="1BD2C662">
      <w:pPr>
        <w:ind w:firstLine="480" w:firstLineChars="20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支撑立柱宜先在地面组装完成，验收合格后再进行吊装，并做好临时固定措施。</w:t>
      </w:r>
    </w:p>
    <w:p w14:paraId="16544EBC">
      <w:pPr>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b w:val="0"/>
          <w:bCs w:val="0"/>
          <w:color w:val="000000" w:themeColor="text1"/>
          <w:lang w:val="en-US" w:eastAsia="zh-CN"/>
          <w14:textFill>
            <w14:solidFill>
              <w14:schemeClr w14:val="tx1"/>
            </w14:solidFill>
          </w14:textFill>
        </w:rPr>
        <w:t xml:space="preserve">  集成平台钢平台系统安装应符合现行国家标准《钢结构工程施工规范》GB50755的有关规定。</w:t>
      </w:r>
    </w:p>
    <w:p w14:paraId="6B6FA21A">
      <w:pPr>
        <w:ind w:firstLine="480" w:firstLineChars="200"/>
        <w:rPr>
          <w:rFonts w:hint="default"/>
          <w:b w:val="0"/>
          <w:bCs w:val="0"/>
          <w:color w:val="000000" w:themeColor="text1"/>
          <w:lang w:val="en-US" w:eastAsia="zh-CN"/>
          <w14:textFill>
            <w14:solidFill>
              <w14:schemeClr w14:val="tx1"/>
            </w14:solidFill>
          </w14:textFill>
        </w:rPr>
      </w:pPr>
      <w:r>
        <w:rPr>
          <w:rFonts w:hint="default"/>
          <w:b w:val="0"/>
          <w:bCs w:val="0"/>
          <w:color w:val="000000" w:themeColor="text1"/>
          <w:lang w:val="en-US" w:eastAsia="zh-CN"/>
          <w14:textFill>
            <w14:solidFill>
              <w14:schemeClr w14:val="tx1"/>
            </w14:solidFill>
          </w14:textFill>
        </w:rPr>
        <w:t>钢平台按照分区进行分片地面拼装，完成后采用塔吊或者汽车吊</w:t>
      </w:r>
      <w:r>
        <w:rPr>
          <w:rFonts w:hint="eastAsia"/>
          <w:b w:val="0"/>
          <w:bCs w:val="0"/>
          <w:color w:val="000000" w:themeColor="text1"/>
          <w:lang w:val="en-US" w:eastAsia="zh-CN"/>
          <w14:textFill>
            <w14:solidFill>
              <w14:schemeClr w14:val="tx1"/>
            </w14:solidFill>
          </w14:textFill>
        </w:rPr>
        <w:t>等吊装机械</w:t>
      </w:r>
      <w:r>
        <w:rPr>
          <w:rFonts w:hint="default"/>
          <w:b w:val="0"/>
          <w:bCs w:val="0"/>
          <w:color w:val="000000" w:themeColor="text1"/>
          <w:lang w:val="en-US" w:eastAsia="zh-CN"/>
          <w14:textFill>
            <w14:solidFill>
              <w14:schemeClr w14:val="tx1"/>
            </w14:solidFill>
          </w14:textFill>
        </w:rPr>
        <w:t>进行吊装，安装按照主梁结构→次梁结构→悬挑端进行分区域整体吊装，最后进行单根散件吊装。</w:t>
      </w:r>
    </w:p>
    <w:p w14:paraId="06EC0B69">
      <w:pPr>
        <w:ind w:firstLine="480" w:firstLineChars="200"/>
        <w:rPr>
          <w:rFonts w:hint="default"/>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钢平台系统应在支撑结构验收合格后安装，安装完成后应及时安装走道板、围护栏杆等辅助结构。</w:t>
      </w:r>
    </w:p>
    <w:p w14:paraId="129BAC9D">
      <w:pPr>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 xml:space="preserve">  动力及同步控制系统安装</w:t>
      </w:r>
    </w:p>
    <w:p w14:paraId="6CC2DD02">
      <w:pPr>
        <w:ind w:firstLine="480" w:firstLineChars="20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液压油缸安装时应注意保护缸体阀件和油管。</w:t>
      </w:r>
    </w:p>
    <w:p w14:paraId="0B4E5A58">
      <w:pPr>
        <w:ind w:firstLine="480" w:firstLineChars="20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钢平台安装完成后，进行油缸泵站的吊装，液压油管由动力泵站沿着支撑立柱向下连接至顶升油缸组，液压油管宜采用管夹连接在支撑立柱上，管夹与支撑立柱焊接连接。</w:t>
      </w:r>
    </w:p>
    <w:p w14:paraId="78CD9013">
      <w:pPr>
        <w:ind w:firstLine="480" w:firstLineChars="20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动力泵站按动力泵站平面布置图就位安装，动力泵站与单元片之间宜加设型钢作为中间连接件做固定使用，连接件与油箱采用螺栓连接，与单元片螺栓连接。</w:t>
      </w:r>
    </w:p>
    <w:p w14:paraId="3215A03B">
      <w:pPr>
        <w:ind w:firstLine="480" w:firstLineChars="20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 xml:space="preserve"> 油缸总成和动力泵站安装完毕后开始安装液压管路，安装液压油管应满足图纸和DL/T5019-94规范要求。</w:t>
      </w:r>
    </w:p>
    <w:p w14:paraId="1B620EBF">
      <w:pPr>
        <w:ind w:firstLine="480" w:firstLineChars="20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线缆按动力泵站平面布置图敷设；中控操作柜与动力泵站的电源电缆和信号电缆采用重载防水插头连接，沿钢平台下弦桥架由中控室辐射分散至各个动力泵站，线缆采用线架固定。</w:t>
      </w:r>
    </w:p>
    <w:p w14:paraId="4140276F">
      <w:pPr>
        <w:ind w:firstLine="482" w:firstLineChars="200"/>
        <w:rPr>
          <w:rFonts w:hint="default"/>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r>
        <w:rPr>
          <w:rFonts w:hint="eastAsia"/>
          <w:b w:val="0"/>
          <w:bCs w:val="0"/>
          <w:color w:val="000000" w:themeColor="text1"/>
          <w:lang w:val="en-US" w:eastAsia="zh-CN"/>
          <w14:textFill>
            <w14:solidFill>
              <w14:schemeClr w14:val="tx1"/>
            </w14:solidFill>
          </w14:textFill>
        </w:rPr>
        <w:t xml:space="preserve">  </w:t>
      </w:r>
      <w:r>
        <w:rPr>
          <w:rFonts w:hint="eastAsia" w:cs="Times New Roman"/>
          <w:color w:val="000000" w:themeColor="text1"/>
          <w:kern w:val="0"/>
          <w:sz w:val="24"/>
          <w:highlight w:val="none"/>
          <w:lang w:val="en-US" w:eastAsia="zh-CN" w:bidi="ar"/>
          <w14:textFill>
            <w14:solidFill>
              <w14:schemeClr w14:val="tx1"/>
            </w14:solidFill>
          </w14:textFill>
        </w:rPr>
        <w:t>监测系统传感器应在钢构件安装前安装，并做好保护措施，钢平台系统组装完成后重新接入应力应变接收器。</w:t>
      </w:r>
    </w:p>
    <w:p w14:paraId="618F256E">
      <w:pPr>
        <w:ind w:firstLine="482" w:firstLineChars="200"/>
        <w:rPr>
          <w:rFonts w:hint="default"/>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6</w:t>
      </w:r>
      <w:r>
        <w:rPr>
          <w:rFonts w:hint="eastAsia"/>
          <w:b w:val="0"/>
          <w:bCs w:val="0"/>
          <w:color w:val="000000" w:themeColor="text1"/>
          <w:lang w:val="en-US" w:eastAsia="zh-CN"/>
          <w14:textFill>
            <w14:solidFill>
              <w14:schemeClr w14:val="tx1"/>
            </w14:solidFill>
          </w14:textFill>
        </w:rPr>
        <w:t xml:space="preserve">  智能装备应由具备安装资质的单位安装，应在承载结构安装完成且验收合格后安装。</w:t>
      </w:r>
    </w:p>
    <w:p w14:paraId="2161F1F5">
      <w:pPr>
        <w:ind w:firstLine="482" w:firstLineChars="200"/>
        <w:rPr>
          <w:rFonts w:hint="eastAsia"/>
          <w:b w:val="0"/>
          <w:bCs w:val="0"/>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7</w:t>
      </w:r>
      <w:r>
        <w:rPr>
          <w:rFonts w:hint="eastAsia"/>
          <w:b w:val="0"/>
          <w:bCs w:val="0"/>
          <w:color w:val="000000" w:themeColor="text1"/>
          <w:lang w:val="en-US" w:eastAsia="zh-CN"/>
          <w14:textFill>
            <w14:solidFill>
              <w14:schemeClr w14:val="tx1"/>
            </w14:solidFill>
          </w14:textFill>
        </w:rPr>
        <w:t xml:space="preserve">  集成平台各系统安装偏差应满足以下要求：</w:t>
      </w:r>
    </w:p>
    <w:p w14:paraId="4115DD90">
      <w:pPr>
        <w:ind w:firstLine="482" w:firstLineChars="200"/>
        <w:rPr>
          <w:rFonts w:hint="eastAsia" w:cs="Times New Roman"/>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（1）</w:t>
      </w:r>
      <w:r>
        <w:rPr>
          <w:rFonts w:hint="eastAsia" w:cs="Times New Roman"/>
          <w:color w:val="000000" w:themeColor="text1"/>
          <w:kern w:val="0"/>
          <w:sz w:val="24"/>
          <w:highlight w:val="none"/>
          <w:lang w:val="en-US" w:eastAsia="zh-CN" w:bidi="ar"/>
          <w14:textFill>
            <w14:solidFill>
              <w14:schemeClr w14:val="tx1"/>
            </w14:solidFill>
          </w14:textFill>
        </w:rPr>
        <w:t>支座预埋标高偏差不大于±5mm，轴线位置偏差不大于±10mm。</w:t>
      </w:r>
    </w:p>
    <w:p w14:paraId="57160AB3">
      <w:pPr>
        <w:ind w:firstLine="482" w:firstLineChars="200"/>
        <w:rPr>
          <w:rFonts w:hint="eastAsia" w:cs="Times New Roman"/>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（2）</w:t>
      </w:r>
      <w:r>
        <w:rPr>
          <w:rFonts w:hint="eastAsia" w:cs="Times New Roman"/>
          <w:color w:val="000000" w:themeColor="text1"/>
          <w:kern w:val="0"/>
          <w:sz w:val="24"/>
          <w:highlight w:val="none"/>
          <w:lang w:val="en-US" w:eastAsia="zh-CN" w:bidi="ar"/>
          <w14:textFill>
            <w14:solidFill>
              <w14:schemeClr w14:val="tx1"/>
            </w14:solidFill>
          </w14:textFill>
        </w:rPr>
        <w:t>立柱安装垂直度偏差不大于1‰，标高偏差不大于±10mm，轴线位置偏差不大于±10mm。</w:t>
      </w:r>
    </w:p>
    <w:p w14:paraId="4A1A7C8B">
      <w:pPr>
        <w:ind w:firstLine="482" w:firstLineChars="200"/>
        <w:rPr>
          <w:rFonts w:hint="eastAsia" w:cs="Times New Roman"/>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（3）</w:t>
      </w:r>
      <w:r>
        <w:rPr>
          <w:rFonts w:hint="eastAsia" w:cs="Times New Roman"/>
          <w:color w:val="000000" w:themeColor="text1"/>
          <w:kern w:val="0"/>
          <w:sz w:val="24"/>
          <w:highlight w:val="none"/>
          <w:lang w:val="en-US" w:eastAsia="zh-CN" w:bidi="ar"/>
          <w14:textFill>
            <w14:solidFill>
              <w14:schemeClr w14:val="tx1"/>
            </w14:solidFill>
          </w14:textFill>
        </w:rPr>
        <w:t>上部结构安装水平度不大于2‰，标高偏差不大于±10mm，轴线位置偏差不大于±10mm。</w:t>
      </w:r>
    </w:p>
    <w:p w14:paraId="23660233">
      <w:pPr>
        <w:ind w:firstLine="482" w:firstLineChars="200"/>
        <w:rPr>
          <w:rFonts w:hint="eastAsia" w:cs="Times New Roman"/>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（4）</w:t>
      </w:r>
      <w:r>
        <w:rPr>
          <w:rFonts w:hint="eastAsia" w:cs="Times New Roman"/>
          <w:color w:val="000000" w:themeColor="text1"/>
          <w:kern w:val="0"/>
          <w:sz w:val="24"/>
          <w:highlight w:val="none"/>
          <w:lang w:val="en-US" w:eastAsia="zh-CN" w:bidi="ar"/>
          <w14:textFill>
            <w14:solidFill>
              <w14:schemeClr w14:val="tx1"/>
            </w14:solidFill>
          </w14:textFill>
        </w:rPr>
        <w:t>动力系统执行元件安装垂直度偏差不大于0.67‰，标高偏差不大于±5mm，轴线位置偏差不大于±5mm。</w:t>
      </w:r>
    </w:p>
    <w:p w14:paraId="512EF73F">
      <w:pPr>
        <w:ind w:firstLine="400" w:firstLineChars="200"/>
        <w:jc w:val="center"/>
        <w:rPr>
          <w:rFonts w:hint="default" w:ascii="Arial" w:hAnsi="Arial" w:eastAsia="黑体" w:cs="Arial"/>
          <w:color w:val="auto"/>
          <w:sz w:val="20"/>
          <w:szCs w:val="20"/>
          <w:highlight w:val="none"/>
          <w:lang w:val="en-US" w:eastAsia="zh-CN"/>
        </w:rPr>
      </w:pPr>
      <w:r>
        <w:rPr>
          <w:rFonts w:hint="eastAsia" w:ascii="Arial" w:hAnsi="Arial" w:eastAsia="黑体" w:cs="Arial"/>
          <w:color w:val="auto"/>
          <w:sz w:val="20"/>
          <w:szCs w:val="20"/>
          <w:highlight w:val="none"/>
          <w:lang w:val="en-US" w:eastAsia="zh-CN"/>
        </w:rPr>
        <w:t>表8.1.3-1动力系统安装验收</w:t>
      </w:r>
    </w:p>
    <w:tbl>
      <w:tblPr>
        <w:tblStyle w:val="23"/>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930"/>
        <w:gridCol w:w="2923"/>
        <w:gridCol w:w="2394"/>
        <w:gridCol w:w="2748"/>
      </w:tblGrid>
      <w:tr w14:paraId="0A4C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17" w:type="pct"/>
            <w:tcBorders>
              <w:top w:val="single" w:color="auto" w:sz="4" w:space="0"/>
              <w:left w:val="single" w:color="auto" w:sz="4" w:space="0"/>
              <w:bottom w:val="single" w:color="auto" w:sz="4" w:space="0"/>
              <w:right w:val="single" w:color="auto" w:sz="4" w:space="0"/>
            </w:tcBorders>
            <w:shd w:val="clear" w:color="auto" w:fill="auto"/>
            <w:vAlign w:val="center"/>
          </w:tcPr>
          <w:p w14:paraId="4EDD035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bidi="ar"/>
                <w14:textFill>
                  <w14:solidFill>
                    <w14:schemeClr w14:val="tx1"/>
                  </w14:solidFill>
                </w14:textFill>
              </w:rPr>
              <w:t>序号</w:t>
            </w:r>
          </w:p>
        </w:tc>
        <w:tc>
          <w:tcPr>
            <w:tcW w:w="1625" w:type="pct"/>
            <w:tcBorders>
              <w:top w:val="single" w:color="auto" w:sz="4" w:space="0"/>
              <w:left w:val="single" w:color="auto" w:sz="4" w:space="0"/>
              <w:bottom w:val="single" w:color="auto" w:sz="4" w:space="0"/>
              <w:right w:val="single" w:color="auto" w:sz="4" w:space="0"/>
            </w:tcBorders>
            <w:shd w:val="clear" w:color="auto" w:fill="auto"/>
            <w:vAlign w:val="center"/>
          </w:tcPr>
          <w:p w14:paraId="60E545E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bidi="ar"/>
                <w14:textFill>
                  <w14:solidFill>
                    <w14:schemeClr w14:val="tx1"/>
                  </w14:solidFill>
                </w14:textFill>
              </w:rPr>
              <w:t>项  目</w:t>
            </w:r>
          </w:p>
        </w:tc>
        <w:tc>
          <w:tcPr>
            <w:tcW w:w="1331" w:type="pct"/>
            <w:tcBorders>
              <w:top w:val="single" w:color="auto" w:sz="4" w:space="0"/>
              <w:left w:val="single" w:color="auto" w:sz="4" w:space="0"/>
              <w:bottom w:val="single" w:color="auto" w:sz="4" w:space="0"/>
              <w:right w:val="single" w:color="auto" w:sz="4" w:space="0"/>
            </w:tcBorders>
            <w:shd w:val="clear" w:color="auto" w:fill="auto"/>
            <w:vAlign w:val="center"/>
          </w:tcPr>
          <w:p w14:paraId="4AC4735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bidi="ar"/>
                <w14:textFill>
                  <w14:solidFill>
                    <w14:schemeClr w14:val="tx1"/>
                  </w14:solidFill>
                </w14:textFill>
              </w:rPr>
              <w:t>质量要求</w:t>
            </w:r>
          </w:p>
        </w:tc>
        <w:tc>
          <w:tcPr>
            <w:tcW w:w="1527" w:type="pct"/>
            <w:tcBorders>
              <w:top w:val="single" w:color="auto" w:sz="4" w:space="0"/>
              <w:left w:val="single" w:color="auto" w:sz="4" w:space="0"/>
              <w:bottom w:val="single" w:color="auto" w:sz="4" w:space="0"/>
              <w:right w:val="single" w:color="auto" w:sz="4" w:space="0"/>
            </w:tcBorders>
            <w:shd w:val="clear" w:color="auto" w:fill="auto"/>
            <w:vAlign w:val="center"/>
          </w:tcPr>
          <w:p w14:paraId="748FB0B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bidi="ar"/>
                <w14:textFill>
                  <w14:solidFill>
                    <w14:schemeClr w14:val="tx1"/>
                  </w14:solidFill>
                </w14:textFill>
              </w:rPr>
              <w:t>检验方法</w:t>
            </w:r>
          </w:p>
        </w:tc>
      </w:tr>
      <w:tr w14:paraId="3F59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17" w:type="pct"/>
            <w:tcBorders>
              <w:top w:val="single" w:color="auto" w:sz="4" w:space="0"/>
              <w:left w:val="single" w:color="auto" w:sz="4" w:space="0"/>
              <w:bottom w:val="single" w:color="auto" w:sz="4" w:space="0"/>
              <w:right w:val="single" w:color="auto" w:sz="4" w:space="0"/>
            </w:tcBorders>
            <w:shd w:val="clear" w:color="auto" w:fill="auto"/>
            <w:vAlign w:val="center"/>
          </w:tcPr>
          <w:p w14:paraId="35D1A40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1</w:t>
            </w:r>
          </w:p>
        </w:tc>
        <w:tc>
          <w:tcPr>
            <w:tcW w:w="1625" w:type="pct"/>
            <w:tcBorders>
              <w:top w:val="single" w:color="auto" w:sz="4" w:space="0"/>
              <w:left w:val="single" w:color="auto" w:sz="4" w:space="0"/>
              <w:bottom w:val="single" w:color="auto" w:sz="4" w:space="0"/>
              <w:right w:val="single" w:color="auto" w:sz="4" w:space="0"/>
            </w:tcBorders>
            <w:shd w:val="clear" w:color="auto" w:fill="auto"/>
            <w:vAlign w:val="center"/>
          </w:tcPr>
          <w:p w14:paraId="7E5DB23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液压泵站</w:t>
            </w:r>
          </w:p>
        </w:tc>
        <w:tc>
          <w:tcPr>
            <w:tcW w:w="1331" w:type="pct"/>
            <w:tcBorders>
              <w:top w:val="single" w:color="auto" w:sz="4" w:space="0"/>
              <w:left w:val="single" w:color="auto" w:sz="4" w:space="0"/>
              <w:bottom w:val="single" w:color="auto" w:sz="4" w:space="0"/>
              <w:right w:val="single" w:color="auto" w:sz="4" w:space="0"/>
            </w:tcBorders>
            <w:shd w:val="clear" w:color="auto" w:fill="auto"/>
            <w:vAlign w:val="center"/>
          </w:tcPr>
          <w:p w14:paraId="431D0EC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工作稳定、压力正常</w:t>
            </w:r>
          </w:p>
        </w:tc>
        <w:tc>
          <w:tcPr>
            <w:tcW w:w="1527" w:type="pct"/>
            <w:tcBorders>
              <w:top w:val="single" w:color="auto" w:sz="4" w:space="0"/>
              <w:left w:val="single" w:color="auto" w:sz="4" w:space="0"/>
              <w:bottom w:val="single" w:color="auto" w:sz="4" w:space="0"/>
              <w:right w:val="single" w:color="auto" w:sz="4" w:space="0"/>
            </w:tcBorders>
            <w:shd w:val="clear" w:color="auto" w:fill="auto"/>
            <w:vAlign w:val="center"/>
          </w:tcPr>
          <w:p w14:paraId="06E4CD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开机检查</w:t>
            </w:r>
          </w:p>
        </w:tc>
      </w:tr>
      <w:tr w14:paraId="46B1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17" w:type="pct"/>
            <w:tcBorders>
              <w:top w:val="single" w:color="auto" w:sz="4" w:space="0"/>
              <w:left w:val="single" w:color="auto" w:sz="4" w:space="0"/>
              <w:bottom w:val="single" w:color="auto" w:sz="4" w:space="0"/>
              <w:right w:val="single" w:color="auto" w:sz="4" w:space="0"/>
            </w:tcBorders>
            <w:shd w:val="clear" w:color="auto" w:fill="auto"/>
            <w:vAlign w:val="center"/>
          </w:tcPr>
          <w:p w14:paraId="4F4B9CF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2</w:t>
            </w:r>
          </w:p>
        </w:tc>
        <w:tc>
          <w:tcPr>
            <w:tcW w:w="1625" w:type="pct"/>
            <w:tcBorders>
              <w:top w:val="single" w:color="auto" w:sz="4" w:space="0"/>
              <w:left w:val="single" w:color="auto" w:sz="4" w:space="0"/>
              <w:bottom w:val="single" w:color="auto" w:sz="4" w:space="0"/>
              <w:right w:val="single" w:color="auto" w:sz="4" w:space="0"/>
            </w:tcBorders>
            <w:shd w:val="clear" w:color="auto" w:fill="auto"/>
            <w:vAlign w:val="center"/>
          </w:tcPr>
          <w:p w14:paraId="3A65E66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顶升油缸活塞杆顶标高差</w:t>
            </w:r>
          </w:p>
        </w:tc>
        <w:tc>
          <w:tcPr>
            <w:tcW w:w="1331" w:type="pct"/>
            <w:tcBorders>
              <w:top w:val="single" w:color="auto" w:sz="4" w:space="0"/>
              <w:left w:val="single" w:color="auto" w:sz="4" w:space="0"/>
              <w:bottom w:val="single" w:color="auto" w:sz="4" w:space="0"/>
              <w:right w:val="single" w:color="auto" w:sz="4" w:space="0"/>
            </w:tcBorders>
            <w:shd w:val="clear" w:color="auto" w:fill="auto"/>
            <w:vAlign w:val="center"/>
          </w:tcPr>
          <w:p w14:paraId="48FF945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±5.0mm</w:t>
            </w:r>
          </w:p>
        </w:tc>
        <w:tc>
          <w:tcPr>
            <w:tcW w:w="1527" w:type="pct"/>
            <w:tcBorders>
              <w:top w:val="single" w:color="auto" w:sz="4" w:space="0"/>
              <w:left w:val="single" w:color="auto" w:sz="4" w:space="0"/>
              <w:bottom w:val="single" w:color="auto" w:sz="4" w:space="0"/>
              <w:right w:val="single" w:color="auto" w:sz="4" w:space="0"/>
            </w:tcBorders>
            <w:shd w:val="clear" w:color="auto" w:fill="auto"/>
            <w:vAlign w:val="center"/>
          </w:tcPr>
          <w:p w14:paraId="71039BB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全站仪</w:t>
            </w:r>
          </w:p>
        </w:tc>
      </w:tr>
      <w:tr w14:paraId="2821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17" w:type="pct"/>
            <w:tcBorders>
              <w:top w:val="single" w:color="auto" w:sz="4" w:space="0"/>
              <w:left w:val="single" w:color="auto" w:sz="4" w:space="0"/>
              <w:bottom w:val="single" w:color="auto" w:sz="4" w:space="0"/>
              <w:right w:val="single" w:color="auto" w:sz="4" w:space="0"/>
            </w:tcBorders>
            <w:shd w:val="clear" w:color="auto" w:fill="auto"/>
            <w:vAlign w:val="center"/>
          </w:tcPr>
          <w:p w14:paraId="4494C39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3</w:t>
            </w:r>
          </w:p>
        </w:tc>
        <w:tc>
          <w:tcPr>
            <w:tcW w:w="1625" w:type="pct"/>
            <w:tcBorders>
              <w:top w:val="single" w:color="auto" w:sz="4" w:space="0"/>
              <w:left w:val="single" w:color="auto" w:sz="4" w:space="0"/>
              <w:bottom w:val="single" w:color="auto" w:sz="4" w:space="0"/>
              <w:right w:val="single" w:color="auto" w:sz="4" w:space="0"/>
            </w:tcBorders>
            <w:shd w:val="clear" w:color="auto" w:fill="auto"/>
            <w:vAlign w:val="center"/>
          </w:tcPr>
          <w:p w14:paraId="614BCAC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顶升油缸水平位置轴线偏差</w:t>
            </w:r>
          </w:p>
        </w:tc>
        <w:tc>
          <w:tcPr>
            <w:tcW w:w="1331" w:type="pct"/>
            <w:tcBorders>
              <w:top w:val="single" w:color="auto" w:sz="4" w:space="0"/>
              <w:left w:val="single" w:color="auto" w:sz="4" w:space="0"/>
              <w:bottom w:val="single" w:color="auto" w:sz="4" w:space="0"/>
              <w:right w:val="single" w:color="auto" w:sz="4" w:space="0"/>
            </w:tcBorders>
            <w:shd w:val="clear" w:color="auto" w:fill="auto"/>
            <w:vAlign w:val="center"/>
          </w:tcPr>
          <w:p w14:paraId="00DAED0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±5.0mm</w:t>
            </w:r>
          </w:p>
        </w:tc>
        <w:tc>
          <w:tcPr>
            <w:tcW w:w="1527" w:type="pct"/>
            <w:tcBorders>
              <w:top w:val="single" w:color="auto" w:sz="4" w:space="0"/>
              <w:left w:val="single" w:color="auto" w:sz="4" w:space="0"/>
              <w:bottom w:val="single" w:color="auto" w:sz="4" w:space="0"/>
              <w:right w:val="single" w:color="auto" w:sz="4" w:space="0"/>
            </w:tcBorders>
            <w:shd w:val="clear" w:color="auto" w:fill="auto"/>
            <w:vAlign w:val="center"/>
          </w:tcPr>
          <w:p w14:paraId="2169BCF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全站仪和钢卷尺</w:t>
            </w:r>
          </w:p>
        </w:tc>
      </w:tr>
      <w:tr w14:paraId="52EB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17" w:type="pct"/>
            <w:tcBorders>
              <w:top w:val="single" w:color="auto" w:sz="4" w:space="0"/>
              <w:left w:val="single" w:color="auto" w:sz="4" w:space="0"/>
              <w:bottom w:val="single" w:color="auto" w:sz="4" w:space="0"/>
              <w:right w:val="single" w:color="auto" w:sz="4" w:space="0"/>
            </w:tcBorders>
            <w:shd w:val="clear" w:color="auto" w:fill="auto"/>
            <w:vAlign w:val="center"/>
          </w:tcPr>
          <w:p w14:paraId="2774E8F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4</w:t>
            </w:r>
          </w:p>
        </w:tc>
        <w:tc>
          <w:tcPr>
            <w:tcW w:w="1625" w:type="pct"/>
            <w:tcBorders>
              <w:top w:val="single" w:color="auto" w:sz="4" w:space="0"/>
              <w:left w:val="single" w:color="auto" w:sz="4" w:space="0"/>
              <w:bottom w:val="single" w:color="auto" w:sz="4" w:space="0"/>
              <w:right w:val="single" w:color="auto" w:sz="4" w:space="0"/>
            </w:tcBorders>
            <w:shd w:val="clear" w:color="auto" w:fill="auto"/>
            <w:vAlign w:val="center"/>
          </w:tcPr>
          <w:p w14:paraId="1170A85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顶升油缸垂直度偏差</w:t>
            </w:r>
          </w:p>
        </w:tc>
        <w:tc>
          <w:tcPr>
            <w:tcW w:w="1331" w:type="pct"/>
            <w:tcBorders>
              <w:top w:val="single" w:color="auto" w:sz="4" w:space="0"/>
              <w:left w:val="single" w:color="auto" w:sz="4" w:space="0"/>
              <w:bottom w:val="single" w:color="auto" w:sz="4" w:space="0"/>
              <w:right w:val="single" w:color="auto" w:sz="4" w:space="0"/>
            </w:tcBorders>
            <w:shd w:val="clear" w:color="auto" w:fill="auto"/>
            <w:vAlign w:val="center"/>
          </w:tcPr>
          <w:p w14:paraId="3192392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lang w:bidi="ar"/>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drawing>
                <wp:inline distT="0" distB="0" distL="114300" distR="114300">
                  <wp:extent cx="85725" cy="200025"/>
                  <wp:effectExtent l="0" t="0" r="3175" b="3175"/>
                  <wp:docPr id="141" name="图片 2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9" descr="IMG_258"/>
                          <pic:cNvPicPr>
                            <a:picLocks noChangeAspect="1"/>
                          </pic:cNvPicPr>
                        </pic:nvPicPr>
                        <pic:blipFill>
                          <a:blip r:embed="rId13"/>
                          <a:stretch>
                            <a:fillRect/>
                          </a:stretch>
                        </pic:blipFill>
                        <pic:spPr>
                          <a:xfrm>
                            <a:off x="0" y="0"/>
                            <a:ext cx="85725" cy="200025"/>
                          </a:xfrm>
                          <a:prstGeom prst="rect">
                            <a:avLst/>
                          </a:prstGeom>
                          <a:noFill/>
                          <a:ln w="9525">
                            <a:noFill/>
                          </a:ln>
                        </pic:spPr>
                      </pic:pic>
                    </a:graphicData>
                  </a:graphic>
                </wp:inline>
              </w:drawing>
            </w:r>
            <w:r>
              <w:rPr>
                <w:rFonts w:hint="default" w:ascii="Times New Roman" w:hAnsi="Times New Roman" w:eastAsia="宋体" w:cs="Times New Roman"/>
                <w:color w:val="000000" w:themeColor="text1"/>
                <w:sz w:val="21"/>
                <w:szCs w:val="21"/>
                <w:lang w:bidi="ar"/>
                <w14:textFill>
                  <w14:solidFill>
                    <w14:schemeClr w14:val="tx1"/>
                  </w14:solidFill>
                </w14:textFill>
              </w:rPr>
              <w:t>/1500，且小于</w:t>
            </w: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5</w:t>
            </w:r>
            <w:r>
              <w:rPr>
                <w:rFonts w:hint="default" w:ascii="Times New Roman" w:hAnsi="Times New Roman" w:eastAsia="宋体" w:cs="Times New Roman"/>
                <w:color w:val="000000" w:themeColor="text1"/>
                <w:sz w:val="21"/>
                <w:szCs w:val="21"/>
                <w:lang w:bidi="ar"/>
                <w14:textFill>
                  <w14:solidFill>
                    <w14:schemeClr w14:val="tx1"/>
                  </w14:solidFill>
                </w14:textFill>
              </w:rPr>
              <w:t>.0mm</w:t>
            </w:r>
          </w:p>
          <w:p w14:paraId="488CA3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lang w:bidi="ar"/>
                <w14:textFill>
                  <w14:solidFill>
                    <w14:schemeClr w14:val="tx1"/>
                  </w14:solidFill>
                </w14:textFill>
              </w:rPr>
            </w:pPr>
          </w:p>
        </w:tc>
        <w:tc>
          <w:tcPr>
            <w:tcW w:w="1527" w:type="pct"/>
            <w:tcBorders>
              <w:top w:val="single" w:color="auto" w:sz="4" w:space="0"/>
              <w:left w:val="single" w:color="auto" w:sz="4" w:space="0"/>
              <w:bottom w:val="single" w:color="auto" w:sz="4" w:space="0"/>
              <w:right w:val="single" w:color="auto" w:sz="4" w:space="0"/>
            </w:tcBorders>
            <w:shd w:val="clear" w:color="auto" w:fill="auto"/>
            <w:vAlign w:val="center"/>
          </w:tcPr>
          <w:p w14:paraId="05147DE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全站仪</w:t>
            </w:r>
          </w:p>
        </w:tc>
      </w:tr>
    </w:tbl>
    <w:p w14:paraId="545BC4A0">
      <w:pPr>
        <w:rPr>
          <w:rFonts w:hint="eastAsia" w:cs="Times New Roman"/>
          <w:color w:val="000000" w:themeColor="text1"/>
          <w:kern w:val="0"/>
          <w:sz w:val="24"/>
          <w:highlight w:val="none"/>
          <w:lang w:val="en-US" w:eastAsia="zh-CN" w:bidi="ar"/>
          <w14:textFill>
            <w14:solidFill>
              <w14:schemeClr w14:val="tx1"/>
            </w14:solidFill>
          </w14:textFill>
        </w:rPr>
      </w:pPr>
    </w:p>
    <w:p w14:paraId="1CA7C0B2">
      <w:pPr>
        <w:ind w:firstLine="482" w:firstLineChars="200"/>
        <w:rPr>
          <w:rFonts w:hint="eastAsia" w:cs="Times New Roman"/>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（5）</w:t>
      </w:r>
      <w:r>
        <w:rPr>
          <w:rFonts w:hint="eastAsia" w:cs="Times New Roman"/>
          <w:color w:val="000000" w:themeColor="text1"/>
          <w:kern w:val="0"/>
          <w:sz w:val="24"/>
          <w:highlight w:val="none"/>
          <w:lang w:val="en-US" w:eastAsia="zh-CN" w:bidi="ar"/>
          <w14:textFill>
            <w14:solidFill>
              <w14:schemeClr w14:val="tx1"/>
            </w14:solidFill>
          </w14:textFill>
        </w:rPr>
        <w:t>智能装备、建筑机器人等集成设备装配接口安装偏差满足设备安装使用要求。</w:t>
      </w:r>
    </w:p>
    <w:p w14:paraId="01A98DA5">
      <w:pPr>
        <w:ind w:firstLine="482" w:firstLineChars="200"/>
        <w:rPr>
          <w:rFonts w:hint="default" w:cs="Times New Roman"/>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8</w:t>
      </w:r>
      <w:r>
        <w:rPr>
          <w:rFonts w:hint="eastAsia" w:cs="Times New Roman"/>
          <w:color w:val="000000" w:themeColor="text1"/>
          <w:kern w:val="0"/>
          <w:sz w:val="24"/>
          <w:highlight w:val="none"/>
          <w:lang w:val="en-US" w:eastAsia="zh-CN" w:bidi="ar"/>
          <w14:textFill>
            <w14:solidFill>
              <w14:schemeClr w14:val="tx1"/>
            </w14:solidFill>
          </w14:textFill>
        </w:rPr>
        <w:t xml:space="preserve">  不同类型管线宜分开布设、便于拆装。需集中布设时宜遵循通信、电力、液压管线、给水自上而下的顺序布设。</w:t>
      </w:r>
    </w:p>
    <w:p w14:paraId="7805157D">
      <w:pPr>
        <w:pStyle w:val="3"/>
        <w:bidi w:val="0"/>
        <w:rPr>
          <w:rFonts w:hint="eastAsia" w:cs="Times New Roman"/>
          <w:b/>
          <w:bCs/>
          <w:color w:val="000000" w:themeColor="text1"/>
          <w:kern w:val="0"/>
          <w:sz w:val="24"/>
          <w:szCs w:val="24"/>
          <w:highlight w:val="none"/>
          <w:lang w:val="en-US" w:eastAsia="zh-CN" w:bidi="ar"/>
          <w14:textFill>
            <w14:solidFill>
              <w14:schemeClr w14:val="tx1"/>
            </w14:solidFill>
          </w14:textFill>
        </w:rPr>
      </w:pPr>
      <w:bookmarkStart w:id="168" w:name="_Toc19091"/>
      <w:r>
        <w:rPr>
          <w:rFonts w:hint="eastAsia"/>
          <w:color w:val="000000" w:themeColor="text1"/>
          <w:lang w:val="en-US" w:eastAsia="zh-CN"/>
          <w14:textFill>
            <w14:solidFill>
              <w14:schemeClr w14:val="tx1"/>
            </w14:solidFill>
          </w14:textFill>
        </w:rPr>
        <w:t>8</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平台调试</w:t>
      </w:r>
      <w:bookmarkEnd w:id="168"/>
    </w:p>
    <w:p w14:paraId="563CD985">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t>8</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1</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 xml:space="preserve">  </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集成平台安装后应进行调试，并应符合下列规定</w:t>
      </w:r>
    </w:p>
    <w:p w14:paraId="1AFD1A0B">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1</w:t>
      </w:r>
      <w:r>
        <w:rPr>
          <w:rFonts w:hint="eastAsia" w:cs="Times New Roman"/>
          <w:color w:val="000000" w:themeColor="text1"/>
          <w:kern w:val="0"/>
          <w:sz w:val="24"/>
          <w:highlight w:val="none"/>
          <w:lang w:val="en-US" w:eastAsia="zh-CN" w:bidi="ar"/>
          <w14:textFill>
            <w14:solidFill>
              <w14:schemeClr w14:val="tx1"/>
            </w14:solidFill>
          </w14:textFill>
        </w:rPr>
        <w:t xml:space="preserve">  安装完成后应启动液压系统和监测系统，观察各仪表的显示值是否正常。</w:t>
      </w:r>
    </w:p>
    <w:p w14:paraId="2C8F4EDE">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2</w:t>
      </w:r>
      <w:r>
        <w:rPr>
          <w:rFonts w:hint="eastAsia" w:cs="Times New Roman"/>
          <w:color w:val="000000" w:themeColor="text1"/>
          <w:kern w:val="0"/>
          <w:sz w:val="24"/>
          <w:highlight w:val="none"/>
          <w:lang w:val="en-US" w:eastAsia="zh-CN" w:bidi="ar"/>
          <w14:textFill>
            <w14:solidFill>
              <w14:schemeClr w14:val="tx1"/>
            </w14:solidFill>
          </w14:textFill>
        </w:rPr>
        <w:t xml:space="preserve">  模拟作业工况，操作液压系统顶升，观察各执行机构的动作、运转、指示、限位装置、电气和液压系统等是否工作正常和准确可靠。</w:t>
      </w:r>
    </w:p>
    <w:p w14:paraId="6EBF0AFA">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b w:val="0"/>
          <w:bCs w:val="0"/>
          <w:color w:val="000000" w:themeColor="text1"/>
          <w:lang w:val="en-US" w:eastAsia="zh-CN"/>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t>8</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 xml:space="preserve">  </w:t>
      </w:r>
      <w:r>
        <w:rPr>
          <w:rFonts w:hint="eastAsia"/>
          <w:b w:val="0"/>
          <w:bCs w:val="0"/>
          <w:color w:val="000000" w:themeColor="text1"/>
          <w:lang w:val="en-US" w:eastAsia="zh-CN"/>
          <w14:textFill>
            <w14:solidFill>
              <w14:schemeClr w14:val="tx1"/>
            </w14:solidFill>
          </w14:textFill>
        </w:rPr>
        <w:t>组织准备与工作安排</w:t>
      </w:r>
    </w:p>
    <w:p w14:paraId="7302D9F8">
      <w:pPr>
        <w:ind w:firstLine="480" w:firstLineChars="200"/>
        <w:rPr>
          <w:rFonts w:hint="eastAsia"/>
          <w:color w:val="000000" w:themeColor="text1"/>
          <w14:textFill>
            <w14:solidFill>
              <w14:schemeClr w14:val="tx1"/>
            </w14:solidFill>
          </w14:textFill>
        </w:rPr>
      </w:pPr>
      <w:r>
        <w:rPr>
          <w:rFonts w:hint="eastAsia"/>
          <w:b w:val="0"/>
          <w:bCs w:val="0"/>
          <w:color w:val="000000" w:themeColor="text1"/>
          <w:lang w:val="en-US" w:eastAsia="zh-CN"/>
          <w14:textFill>
            <w14:solidFill>
              <w14:schemeClr w14:val="tx1"/>
            </w14:solidFill>
          </w14:textFill>
        </w:rPr>
        <w:t>集成平台</w:t>
      </w:r>
      <w:r>
        <w:rPr>
          <w:rFonts w:hint="eastAsia"/>
          <w:b w:val="0"/>
          <w:bCs w:val="0"/>
          <w:color w:val="000000" w:themeColor="text1"/>
          <w14:textFill>
            <w14:solidFill>
              <w14:schemeClr w14:val="tx1"/>
            </w14:solidFill>
          </w14:textFill>
        </w:rPr>
        <w:t>在各系统检查正常后，进入试运行准备阶段，准备内容包含将铝模板脱离墙体，并全数检查墙面保证无阻碍；翻开挂架与墙体间防护翻板；保证挂架与墙体不阻碍；检查主体结构与</w:t>
      </w:r>
      <w:r>
        <w:rPr>
          <w:rFonts w:hint="eastAsia"/>
          <w:b w:val="0"/>
          <w:bCs w:val="0"/>
          <w:color w:val="000000" w:themeColor="text1"/>
          <w:lang w:val="en-US" w:eastAsia="zh-CN"/>
          <w14:textFill>
            <w14:solidFill>
              <w14:schemeClr w14:val="tx1"/>
            </w14:solidFill>
          </w14:textFill>
        </w:rPr>
        <w:t>集成平台</w:t>
      </w:r>
      <w:r>
        <w:rPr>
          <w:rFonts w:hint="eastAsia"/>
          <w:b w:val="0"/>
          <w:bCs w:val="0"/>
          <w:color w:val="000000" w:themeColor="text1"/>
          <w14:textFill>
            <w14:solidFill>
              <w14:schemeClr w14:val="tx1"/>
            </w14:solidFill>
          </w14:textFill>
        </w:rPr>
        <w:t>钢平台、挂架关系；检查塔吊与钢平台关系；上述内容在试运行阶段进行动态观测</w:t>
      </w:r>
      <w:r>
        <w:rPr>
          <w:rFonts w:hint="eastAsia"/>
          <w:color w:val="000000" w:themeColor="text1"/>
          <w14:textFill>
            <w14:solidFill>
              <w14:schemeClr w14:val="tx1"/>
            </w14:solidFill>
          </w14:textFill>
        </w:rPr>
        <w:t>。</w:t>
      </w:r>
    </w:p>
    <w:p w14:paraId="12ADDBBE">
      <w:pPr>
        <w:ind w:firstLine="400" w:firstLineChars="200"/>
        <w:jc w:val="center"/>
        <w:rPr>
          <w:rFonts w:hint="default"/>
          <w:color w:val="000000" w:themeColor="text1"/>
          <w:lang w:val="en-US"/>
          <w14:textFill>
            <w14:solidFill>
              <w14:schemeClr w14:val="tx1"/>
            </w14:solidFill>
          </w14:textFill>
        </w:rPr>
      </w:pPr>
      <w:r>
        <w:rPr>
          <w:rFonts w:hint="eastAsia" w:ascii="Arial" w:hAnsi="Arial" w:eastAsia="黑体" w:cs="Arial"/>
          <w:color w:val="auto"/>
          <w:sz w:val="20"/>
          <w:szCs w:val="20"/>
          <w:highlight w:val="none"/>
          <w:lang w:val="en-US" w:eastAsia="zh-CN"/>
        </w:rPr>
        <w:t>表8.2.2  集成平台试运行工作组职责</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726"/>
        <w:gridCol w:w="6535"/>
      </w:tblGrid>
      <w:tr w14:paraId="2F70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6BD75169">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序号</w:t>
            </w:r>
          </w:p>
        </w:tc>
        <w:tc>
          <w:tcPr>
            <w:tcW w:w="959" w:type="pct"/>
            <w:tcBorders>
              <w:top w:val="single" w:color="auto" w:sz="4" w:space="0"/>
              <w:left w:val="single" w:color="auto" w:sz="4" w:space="0"/>
              <w:bottom w:val="single" w:color="auto" w:sz="4" w:space="0"/>
              <w:right w:val="single" w:color="auto" w:sz="4" w:space="0"/>
            </w:tcBorders>
            <w:shd w:val="clear" w:color="auto" w:fill="auto"/>
            <w:vAlign w:val="center"/>
          </w:tcPr>
          <w:p w14:paraId="6BC28A53">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组别</w:t>
            </w:r>
          </w:p>
        </w:tc>
        <w:tc>
          <w:tcPr>
            <w:tcW w:w="3632" w:type="pct"/>
            <w:tcBorders>
              <w:top w:val="single" w:color="auto" w:sz="4" w:space="0"/>
              <w:left w:val="single" w:color="auto" w:sz="4" w:space="0"/>
              <w:bottom w:val="single" w:color="auto" w:sz="4" w:space="0"/>
              <w:right w:val="single" w:color="auto" w:sz="4" w:space="0"/>
            </w:tcBorders>
            <w:shd w:val="clear" w:color="auto" w:fill="auto"/>
            <w:vAlign w:val="center"/>
          </w:tcPr>
          <w:p w14:paraId="088A6187">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主要职责</w:t>
            </w:r>
          </w:p>
        </w:tc>
      </w:tr>
      <w:tr w14:paraId="3D9B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5C1A0203">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959" w:type="pct"/>
            <w:tcBorders>
              <w:top w:val="single" w:color="auto" w:sz="4" w:space="0"/>
              <w:left w:val="single" w:color="auto" w:sz="4" w:space="0"/>
              <w:bottom w:val="single" w:color="auto" w:sz="4" w:space="0"/>
              <w:right w:val="single" w:color="auto" w:sz="4" w:space="0"/>
            </w:tcBorders>
            <w:shd w:val="clear" w:color="auto" w:fill="auto"/>
            <w:vAlign w:val="center"/>
          </w:tcPr>
          <w:p w14:paraId="6CEFC990">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爬升动力操作组</w:t>
            </w:r>
          </w:p>
        </w:tc>
        <w:tc>
          <w:tcPr>
            <w:tcW w:w="3632" w:type="pct"/>
            <w:tcBorders>
              <w:top w:val="single" w:color="auto" w:sz="4" w:space="0"/>
              <w:left w:val="single" w:color="auto" w:sz="4" w:space="0"/>
              <w:bottom w:val="single" w:color="auto" w:sz="4" w:space="0"/>
              <w:right w:val="single" w:color="auto" w:sz="4" w:space="0"/>
            </w:tcBorders>
            <w:shd w:val="clear" w:color="auto" w:fill="auto"/>
            <w:vAlign w:val="center"/>
          </w:tcPr>
          <w:p w14:paraId="4103D3FA">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在总指挥指令下进行液压系统操作：对重要部位进行检查巡视；及时反映油缸运行状态：包含同步性、爬升位置标高、油缸压力等。</w:t>
            </w:r>
          </w:p>
        </w:tc>
      </w:tr>
      <w:tr w14:paraId="0CFB5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07" w:type="pct"/>
            <w:vMerge w:val="restart"/>
            <w:tcBorders>
              <w:top w:val="nil"/>
              <w:left w:val="single" w:color="auto" w:sz="4" w:space="0"/>
              <w:bottom w:val="single" w:color="auto" w:sz="4" w:space="0"/>
              <w:right w:val="single" w:color="auto" w:sz="4" w:space="0"/>
            </w:tcBorders>
            <w:shd w:val="clear" w:color="auto" w:fill="auto"/>
            <w:vAlign w:val="center"/>
          </w:tcPr>
          <w:p w14:paraId="1EA05FD9">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959" w:type="pct"/>
            <w:vMerge w:val="restart"/>
            <w:tcBorders>
              <w:top w:val="nil"/>
              <w:left w:val="single" w:color="auto" w:sz="4" w:space="0"/>
              <w:bottom w:val="single" w:color="auto" w:sz="4" w:space="0"/>
              <w:right w:val="single" w:color="auto" w:sz="4" w:space="0"/>
            </w:tcBorders>
            <w:shd w:val="clear" w:color="auto" w:fill="auto"/>
            <w:vAlign w:val="center"/>
          </w:tcPr>
          <w:p w14:paraId="29164B59">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观测协调组</w:t>
            </w:r>
          </w:p>
        </w:tc>
        <w:tc>
          <w:tcPr>
            <w:tcW w:w="3632" w:type="pct"/>
            <w:tcBorders>
              <w:top w:val="single" w:color="auto" w:sz="4" w:space="0"/>
              <w:left w:val="single" w:color="auto" w:sz="4" w:space="0"/>
              <w:bottom w:val="single" w:color="auto" w:sz="4" w:space="0"/>
              <w:right w:val="single" w:color="auto" w:sz="4" w:space="0"/>
            </w:tcBorders>
            <w:shd w:val="clear" w:color="auto" w:fill="auto"/>
            <w:vAlign w:val="center"/>
          </w:tcPr>
          <w:p w14:paraId="0B964C40">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挂架观测组：爬升前对挂架及模板部位对爬升形成障碍部位的最后一次复查；爬升过程中，观测挂架顶部吊杆等受力构件状态；结构内其他影响爬升的障碍复核；及时反馈挂架体系状态（摆动，变形，障碍等）。</w:t>
            </w:r>
          </w:p>
        </w:tc>
      </w:tr>
      <w:tr w14:paraId="261C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07" w:type="pct"/>
            <w:vMerge w:val="continue"/>
            <w:tcBorders>
              <w:top w:val="nil"/>
              <w:left w:val="single" w:color="auto" w:sz="4" w:space="0"/>
              <w:bottom w:val="single" w:color="auto" w:sz="4" w:space="0"/>
              <w:right w:val="single" w:color="auto" w:sz="4" w:space="0"/>
            </w:tcBorders>
            <w:shd w:val="clear" w:color="auto" w:fill="auto"/>
            <w:vAlign w:val="center"/>
          </w:tcPr>
          <w:p w14:paraId="31054CD7">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959" w:type="pct"/>
            <w:vMerge w:val="continue"/>
            <w:tcBorders>
              <w:top w:val="nil"/>
              <w:left w:val="single" w:color="auto" w:sz="4" w:space="0"/>
              <w:bottom w:val="single" w:color="auto" w:sz="4" w:space="0"/>
              <w:right w:val="single" w:color="auto" w:sz="4" w:space="0"/>
            </w:tcBorders>
            <w:shd w:val="clear" w:color="auto" w:fill="auto"/>
            <w:vAlign w:val="center"/>
          </w:tcPr>
          <w:p w14:paraId="739511B6">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3632" w:type="pct"/>
            <w:tcBorders>
              <w:top w:val="single" w:color="auto" w:sz="4" w:space="0"/>
              <w:left w:val="single" w:color="auto" w:sz="4" w:space="0"/>
              <w:bottom w:val="single" w:color="auto" w:sz="4" w:space="0"/>
              <w:right w:val="single" w:color="auto" w:sz="4" w:space="0"/>
            </w:tcBorders>
            <w:shd w:val="clear" w:color="auto" w:fill="auto"/>
            <w:vAlign w:val="center"/>
          </w:tcPr>
          <w:p w14:paraId="3233B60C">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（2）立柱节点观测组：立柱与钢平台连接节点是否异常。</w:t>
            </w:r>
          </w:p>
        </w:tc>
      </w:tr>
      <w:tr w14:paraId="0301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07" w:type="pct"/>
            <w:vMerge w:val="continue"/>
            <w:tcBorders>
              <w:top w:val="nil"/>
              <w:left w:val="single" w:color="auto" w:sz="4" w:space="0"/>
              <w:bottom w:val="single" w:color="auto" w:sz="4" w:space="0"/>
              <w:right w:val="single" w:color="auto" w:sz="4" w:space="0"/>
            </w:tcBorders>
            <w:shd w:val="clear" w:color="auto" w:fill="auto"/>
            <w:vAlign w:val="center"/>
          </w:tcPr>
          <w:p w14:paraId="7BECA0E9">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959" w:type="pct"/>
            <w:vMerge w:val="continue"/>
            <w:tcBorders>
              <w:top w:val="nil"/>
              <w:left w:val="single" w:color="auto" w:sz="4" w:space="0"/>
              <w:bottom w:val="single" w:color="auto" w:sz="4" w:space="0"/>
              <w:right w:val="single" w:color="auto" w:sz="4" w:space="0"/>
            </w:tcBorders>
            <w:shd w:val="clear" w:color="auto" w:fill="auto"/>
            <w:vAlign w:val="center"/>
          </w:tcPr>
          <w:p w14:paraId="3F9E4140">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3632" w:type="pct"/>
            <w:tcBorders>
              <w:top w:val="single" w:color="auto" w:sz="4" w:space="0"/>
              <w:left w:val="single" w:color="auto" w:sz="4" w:space="0"/>
              <w:bottom w:val="single" w:color="auto" w:sz="4" w:space="0"/>
              <w:right w:val="single" w:color="auto" w:sz="4" w:space="0"/>
            </w:tcBorders>
            <w:shd w:val="clear" w:color="auto" w:fill="auto"/>
            <w:vAlign w:val="center"/>
          </w:tcPr>
          <w:p w14:paraId="0E5DC09F">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（3）平台监测组：钢平台次桁架与塔吊距离，并反馈至指挥部；钢平台桁架及附属结构与外墙距离，并反馈至指挥部。</w:t>
            </w:r>
          </w:p>
        </w:tc>
      </w:tr>
      <w:tr w14:paraId="7D13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2A79F89A">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959" w:type="pct"/>
            <w:tcBorders>
              <w:top w:val="single" w:color="auto" w:sz="4" w:space="0"/>
              <w:left w:val="single" w:color="auto" w:sz="4" w:space="0"/>
              <w:bottom w:val="single" w:color="auto" w:sz="4" w:space="0"/>
              <w:right w:val="single" w:color="auto" w:sz="4" w:space="0"/>
            </w:tcBorders>
            <w:shd w:val="clear" w:color="auto" w:fill="auto"/>
            <w:vAlign w:val="center"/>
          </w:tcPr>
          <w:p w14:paraId="15960448">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测量组</w:t>
            </w:r>
          </w:p>
        </w:tc>
        <w:tc>
          <w:tcPr>
            <w:tcW w:w="3632" w:type="pct"/>
            <w:tcBorders>
              <w:top w:val="single" w:color="auto" w:sz="4" w:space="0"/>
              <w:left w:val="single" w:color="auto" w:sz="4" w:space="0"/>
              <w:bottom w:val="single" w:color="auto" w:sz="4" w:space="0"/>
              <w:right w:val="single" w:color="auto" w:sz="4" w:space="0"/>
            </w:tcBorders>
            <w:shd w:val="clear" w:color="auto" w:fill="auto"/>
            <w:vAlign w:val="center"/>
          </w:tcPr>
          <w:p w14:paraId="2BC6BF52">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在钢平台顶部设置观测点，导轨立柱布置观测点，用来观察平台爬升后钢平台及立柱的水平位置移动情况及标高变化情况，并及时反映至指挥部作为决策参考。</w:t>
            </w:r>
          </w:p>
        </w:tc>
      </w:tr>
      <w:tr w14:paraId="1DF8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35DE3816">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959" w:type="pct"/>
            <w:tcBorders>
              <w:top w:val="single" w:color="auto" w:sz="4" w:space="0"/>
              <w:left w:val="single" w:color="auto" w:sz="4" w:space="0"/>
              <w:bottom w:val="single" w:color="auto" w:sz="4" w:space="0"/>
              <w:right w:val="single" w:color="auto" w:sz="4" w:space="0"/>
            </w:tcBorders>
            <w:shd w:val="clear" w:color="auto" w:fill="auto"/>
            <w:vAlign w:val="center"/>
          </w:tcPr>
          <w:p w14:paraId="0A0ACEC2">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安全保障组</w:t>
            </w:r>
          </w:p>
        </w:tc>
        <w:tc>
          <w:tcPr>
            <w:tcW w:w="3632" w:type="pct"/>
            <w:tcBorders>
              <w:top w:val="single" w:color="auto" w:sz="4" w:space="0"/>
              <w:left w:val="single" w:color="auto" w:sz="4" w:space="0"/>
              <w:bottom w:val="single" w:color="auto" w:sz="4" w:space="0"/>
              <w:right w:val="single" w:color="auto" w:sz="4" w:space="0"/>
            </w:tcBorders>
            <w:shd w:val="clear" w:color="auto" w:fill="auto"/>
            <w:vAlign w:val="center"/>
          </w:tcPr>
          <w:p w14:paraId="23D5093C">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负责在爬升过程中，对危险区域进行安全警戒、安全巡查</w:t>
            </w:r>
            <w:r>
              <w:rPr>
                <w:rFonts w:hint="eastAsia" w:eastAsia="宋体" w:cs="Times New Roman"/>
                <w:color w:val="000000" w:themeColor="text1"/>
                <w:sz w:val="21"/>
                <w:szCs w:val="21"/>
                <w:lang w:eastAsia="zh-CN"/>
                <w14:textFill>
                  <w14:solidFill>
                    <w14:schemeClr w14:val="tx1"/>
                  </w14:solidFill>
                </w14:textFill>
              </w:rPr>
              <w:t>，对</w:t>
            </w:r>
            <w:r>
              <w:rPr>
                <w:rFonts w:hint="default" w:ascii="Times New Roman" w:hAnsi="Times New Roman" w:eastAsia="宋体" w:cs="Times New Roman"/>
                <w:color w:val="000000" w:themeColor="text1"/>
                <w:sz w:val="21"/>
                <w:szCs w:val="21"/>
                <w14:textFill>
                  <w14:solidFill>
                    <w14:schemeClr w14:val="tx1"/>
                  </w14:solidFill>
                </w14:textFill>
              </w:rPr>
              <w:t>安全作业进行监督，并预备应急措施等。</w:t>
            </w:r>
          </w:p>
        </w:tc>
      </w:tr>
      <w:tr w14:paraId="754D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78B651DB">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959" w:type="pct"/>
            <w:tcBorders>
              <w:top w:val="single" w:color="auto" w:sz="4" w:space="0"/>
              <w:left w:val="single" w:color="auto" w:sz="4" w:space="0"/>
              <w:bottom w:val="single" w:color="auto" w:sz="4" w:space="0"/>
              <w:right w:val="single" w:color="auto" w:sz="4" w:space="0"/>
            </w:tcBorders>
            <w:shd w:val="clear" w:color="auto" w:fill="auto"/>
            <w:vAlign w:val="center"/>
          </w:tcPr>
          <w:p w14:paraId="42AADA3A">
            <w:pPr>
              <w:pStyle w:val="6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过程记录小组</w:t>
            </w:r>
          </w:p>
        </w:tc>
        <w:tc>
          <w:tcPr>
            <w:tcW w:w="3632" w:type="pct"/>
            <w:tcBorders>
              <w:top w:val="single" w:color="auto" w:sz="4" w:space="0"/>
              <w:left w:val="single" w:color="auto" w:sz="4" w:space="0"/>
              <w:bottom w:val="single" w:color="auto" w:sz="4" w:space="0"/>
              <w:right w:val="single" w:color="auto" w:sz="4" w:space="0"/>
            </w:tcBorders>
            <w:shd w:val="clear" w:color="auto" w:fill="auto"/>
            <w:vAlign w:val="center"/>
          </w:tcPr>
          <w:p w14:paraId="4A315681">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对</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试运行</w:t>
            </w:r>
            <w:r>
              <w:rPr>
                <w:rFonts w:hint="default" w:ascii="Times New Roman" w:hAnsi="Times New Roman" w:eastAsia="宋体" w:cs="Times New Roman"/>
                <w:color w:val="000000" w:themeColor="text1"/>
                <w:sz w:val="21"/>
                <w:szCs w:val="21"/>
                <w14:textFill>
                  <w14:solidFill>
                    <w14:schemeClr w14:val="tx1"/>
                  </w14:solidFill>
                </w14:textFill>
              </w:rPr>
              <w:t>过程中各种情况进行记录，记录液压体系油压状态等内容，方便信息汇总及爬升总结，为正式投入使用提供参考。</w:t>
            </w:r>
          </w:p>
        </w:tc>
      </w:tr>
    </w:tbl>
    <w:p w14:paraId="1FB90AA4">
      <w:pPr>
        <w:rPr>
          <w:rFonts w:hint="eastAsia"/>
          <w:color w:val="000000" w:themeColor="text1"/>
          <w:lang w:val="en-US" w:eastAsia="zh-CN"/>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t>8</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b/>
          <w:bCs/>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油缸承压检验</w:t>
      </w:r>
    </w:p>
    <w:p w14:paraId="1304BA6B">
      <w:pPr>
        <w:ind w:firstLine="48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在试运行预爬升到位后，将轨道立柱顶到挂座位置，此时保持轨道立柱上部悬空即集成平台整体重量由油缸承担，油缸处于保压状态，静止12小时，测试液压体系安全性，再次复查液压系统。静止12小时后，回轨道立柱，至此完成试运行作业。</w:t>
      </w:r>
    </w:p>
    <w:p w14:paraId="4E8A00DA">
      <w:pPr>
        <w:rPr>
          <w:rFonts w:hint="default"/>
          <w:color w:val="000000" w:themeColor="text1"/>
          <w:lang w:val="en-US" w:eastAsia="zh-CN"/>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t>8</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b/>
          <w:bCs/>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试运行</w:t>
      </w:r>
      <w:r>
        <w:rPr>
          <w:rFonts w:hint="default"/>
          <w:color w:val="000000" w:themeColor="text1"/>
          <w:lang w:val="en-US" w:eastAsia="zh-CN"/>
          <w14:textFill>
            <w14:solidFill>
              <w14:schemeClr w14:val="tx1"/>
            </w14:solidFill>
          </w14:textFill>
        </w:rPr>
        <w:t>总结</w:t>
      </w:r>
    </w:p>
    <w:p w14:paraId="6D6BD6ED">
      <w:pPr>
        <w:ind w:firstLine="480" w:firstLineChars="20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试运行</w:t>
      </w:r>
      <w:r>
        <w:rPr>
          <w:rFonts w:hint="default"/>
          <w:color w:val="000000" w:themeColor="text1"/>
          <w:lang w:val="en-US" w:eastAsia="zh-CN"/>
          <w14:textFill>
            <w14:solidFill>
              <w14:schemeClr w14:val="tx1"/>
            </w14:solidFill>
          </w14:textFill>
        </w:rPr>
        <w:t>预爬升完成后，应对爬升过程中的各项数据，发生的问题进行总结，提出纠正措施，标准施工作业流程，并形成安装完成验收报告。</w:t>
      </w:r>
    </w:p>
    <w:p w14:paraId="46D1A11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br w:type="page"/>
      </w:r>
    </w:p>
    <w:p w14:paraId="4685B107">
      <w:pPr>
        <w:pStyle w:val="2"/>
        <w:bidi w:val="0"/>
        <w:rPr>
          <w:rFonts w:hint="default"/>
          <w:color w:val="000000" w:themeColor="text1"/>
          <w14:textFill>
            <w14:solidFill>
              <w14:schemeClr w14:val="tx1"/>
            </w14:solidFill>
          </w14:textFill>
        </w:rPr>
      </w:pPr>
      <w:bookmarkStart w:id="169" w:name="_Toc8492"/>
      <w:r>
        <w:rPr>
          <w:rFonts w:hint="eastAsia"/>
          <w:color w:val="000000" w:themeColor="text1"/>
          <w:lang w:val="en-US" w:eastAsia="zh-CN"/>
          <w14:textFill>
            <w14:solidFill>
              <w14:schemeClr w14:val="tx1"/>
            </w14:solidFill>
          </w14:textFill>
        </w:rPr>
        <w:t>第9章</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验收</w:t>
      </w:r>
      <w:bookmarkEnd w:id="169"/>
    </w:p>
    <w:p w14:paraId="75962F6B">
      <w:pPr>
        <w:pStyle w:val="3"/>
        <w:bidi w:val="0"/>
        <w:rPr>
          <w:rFonts w:hint="eastAsia" w:cs="Times New Roman"/>
          <w:b/>
          <w:bCs/>
          <w:color w:val="auto"/>
          <w:kern w:val="0"/>
          <w:sz w:val="24"/>
          <w:szCs w:val="24"/>
          <w:highlight w:val="none"/>
          <w:lang w:val="en-US" w:eastAsia="zh-CN" w:bidi="ar"/>
        </w:rPr>
      </w:pPr>
      <w:bookmarkStart w:id="170" w:name="_Toc29913"/>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一般规定</w:t>
      </w:r>
      <w:bookmarkEnd w:id="170"/>
    </w:p>
    <w:p w14:paraId="127ABDB4">
      <w:pPr>
        <w:rPr>
          <w:rFonts w:hint="eastAsia"/>
          <w:b w:val="0"/>
          <w:bCs w:val="0"/>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eastAsia" w:ascii="Times New Roman" w:hAnsi="Times New Roman" w:eastAsia="宋体" w:cs="Times New Roman"/>
          <w:b/>
          <w:bCs/>
          <w:color w:val="auto"/>
          <w:kern w:val="0"/>
          <w:sz w:val="24"/>
          <w:szCs w:val="24"/>
          <w:highlight w:val="none"/>
          <w:lang w:val="en-US" w:eastAsia="zh-CN" w:bidi="ar"/>
        </w:rPr>
        <w:t xml:space="preserve">.1 </w:t>
      </w:r>
      <w:r>
        <w:rPr>
          <w:rFonts w:hint="eastAsia" w:cs="Times New Roman"/>
          <w:b/>
          <w:bCs/>
          <w:color w:val="auto"/>
          <w:kern w:val="0"/>
          <w:sz w:val="24"/>
          <w:szCs w:val="24"/>
          <w:highlight w:val="none"/>
          <w:lang w:val="en-US" w:eastAsia="zh-CN" w:bidi="ar"/>
        </w:rPr>
        <w:t xml:space="preserve"> </w:t>
      </w:r>
      <w:r>
        <w:rPr>
          <w:rFonts w:hint="eastAsia"/>
          <w:b w:val="0"/>
          <w:bCs w:val="0"/>
          <w:color w:val="auto"/>
          <w:highlight w:val="none"/>
          <w:lang w:val="en-US" w:eastAsia="zh-CN"/>
        </w:rPr>
        <w:t>高层建筑施工作业集成平台（以下简称“集成平台”）的验收应实行全过程、分阶段控制，一般应包括自检、监理初检、第三方检测、联合验收等环节，各环节应形成书面记录。</w:t>
      </w:r>
    </w:p>
    <w:p w14:paraId="11542355">
      <w:pPr>
        <w:rPr>
          <w:rFonts w:hint="eastAsia"/>
          <w:b w:val="0"/>
          <w:bCs w:val="0"/>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eastAsia" w:ascii="Times New Roman" w:hAnsi="Times New Roman" w:eastAsia="宋体" w:cs="Times New Roman"/>
          <w:b/>
          <w:bCs/>
          <w:color w:val="auto"/>
          <w:kern w:val="0"/>
          <w:sz w:val="24"/>
          <w:szCs w:val="24"/>
          <w:highlight w:val="none"/>
          <w:lang w:val="en-US" w:eastAsia="zh-CN" w:bidi="ar"/>
        </w:rPr>
        <w:t>.</w:t>
      </w:r>
      <w:r>
        <w:rPr>
          <w:rFonts w:hint="eastAsia"/>
          <w:b/>
          <w:bCs/>
          <w:color w:val="auto"/>
          <w:highlight w:val="none"/>
          <w:lang w:val="en-US" w:eastAsia="zh-CN"/>
        </w:rPr>
        <w:t>2</w:t>
      </w:r>
      <w:r>
        <w:rPr>
          <w:rFonts w:hint="eastAsia"/>
          <w:b w:val="0"/>
          <w:bCs w:val="0"/>
          <w:color w:val="auto"/>
          <w:highlight w:val="none"/>
          <w:lang w:val="en-US" w:eastAsia="zh-CN"/>
        </w:rPr>
        <w:t xml:space="preserve">  验收工作应由总承包单位组织协调，监理、施工、设计、集成平台产权（或研发）单位及安装单位等共同参与；第三方检测应由具备相应资质的独立机构承担。</w:t>
      </w:r>
    </w:p>
    <w:p w14:paraId="04D7AEF2">
      <w:pPr>
        <w:keepNext w:val="0"/>
        <w:keepLines w:val="0"/>
        <w:pageBreakBefore w:val="0"/>
        <w:widowControl w:val="0"/>
        <w:kinsoku/>
        <w:wordWrap/>
        <w:overflowPunct/>
        <w:topLinePunct w:val="0"/>
        <w:autoSpaceDE/>
        <w:autoSpaceDN/>
        <w:bidi w:val="0"/>
        <w:adjustRightInd/>
        <w:snapToGrid/>
        <w:textAlignment w:val="auto"/>
        <w:rPr>
          <w:rFonts w:hint="eastAsia"/>
          <w:b w:val="0"/>
          <w:bCs w:val="0"/>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eastAsia" w:ascii="Times New Roman" w:hAnsi="Times New Roman" w:eastAsia="宋体" w:cs="Times New Roman"/>
          <w:b/>
          <w:bCs/>
          <w:color w:val="auto"/>
          <w:kern w:val="0"/>
          <w:sz w:val="24"/>
          <w:szCs w:val="24"/>
          <w:highlight w:val="none"/>
          <w:lang w:val="en-US" w:eastAsia="zh-CN" w:bidi="ar"/>
        </w:rPr>
        <w:t>.</w:t>
      </w:r>
      <w:r>
        <w:rPr>
          <w:rFonts w:hint="eastAsia"/>
          <w:b/>
          <w:bCs/>
          <w:color w:val="auto"/>
          <w:highlight w:val="none"/>
          <w:lang w:val="en-US" w:eastAsia="zh-CN"/>
        </w:rPr>
        <w:t>3</w:t>
      </w:r>
      <w:r>
        <w:rPr>
          <w:rFonts w:hint="eastAsia"/>
          <w:b w:val="0"/>
          <w:bCs w:val="0"/>
          <w:color w:val="auto"/>
          <w:highlight w:val="none"/>
          <w:lang w:val="en-US" w:eastAsia="zh-CN"/>
        </w:rPr>
        <w:t xml:space="preserve">  属于“超过一定规模的危险性较大的分部分项工程范围”的“集成平台”工程，须按规定落实“专家论证”“专家验收”和“现场双确认”三项制度：</w:t>
      </w:r>
    </w:p>
    <w:p w14:paraId="5B0C96C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auto"/>
          <w:highlight w:val="none"/>
          <w:lang w:val="en-US" w:eastAsia="zh-CN"/>
        </w:rPr>
      </w:pPr>
      <w:r>
        <w:rPr>
          <w:rFonts w:hint="eastAsia"/>
          <w:b/>
          <w:bCs/>
          <w:color w:val="auto"/>
          <w:highlight w:val="none"/>
          <w:lang w:val="en-US" w:eastAsia="zh-CN"/>
        </w:rPr>
        <w:t>1</w:t>
      </w:r>
      <w:r>
        <w:rPr>
          <w:rFonts w:hint="eastAsia"/>
          <w:b w:val="0"/>
          <w:bCs w:val="0"/>
          <w:color w:val="auto"/>
          <w:highlight w:val="none"/>
          <w:lang w:val="en-US" w:eastAsia="zh-CN"/>
        </w:rPr>
        <w:t xml:space="preserve">  须按规定组织专家对“集成平台”专项施工方案进行论证；</w:t>
      </w:r>
    </w:p>
    <w:p w14:paraId="1D08A37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val="0"/>
          <w:bCs w:val="0"/>
          <w:color w:val="auto"/>
          <w:highlight w:val="none"/>
          <w:lang w:val="en-US" w:eastAsia="zh-CN"/>
        </w:rPr>
      </w:pPr>
      <w:r>
        <w:rPr>
          <w:rFonts w:hint="eastAsia"/>
          <w:b/>
          <w:bCs/>
          <w:color w:val="auto"/>
          <w:highlight w:val="none"/>
          <w:lang w:val="en-US" w:eastAsia="zh-CN"/>
        </w:rPr>
        <w:t>2</w:t>
      </w:r>
      <w:r>
        <w:rPr>
          <w:rFonts w:hint="eastAsia"/>
          <w:b w:val="0"/>
          <w:bCs w:val="0"/>
          <w:color w:val="auto"/>
          <w:highlight w:val="none"/>
          <w:lang w:val="en-US" w:eastAsia="zh-CN"/>
        </w:rPr>
        <w:t xml:space="preserve">  现场验收时应当邀请参与专项方案论证的专家组参加，由专家组验收工程是否符合专项方案要求；</w:t>
      </w:r>
    </w:p>
    <w:p w14:paraId="15006710">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eastAsia="宋体"/>
          <w:highlight w:val="none"/>
          <w:lang w:eastAsia="zh-CN"/>
        </w:rPr>
      </w:pPr>
      <w:r>
        <w:rPr>
          <w:rFonts w:hint="eastAsia"/>
          <w:b/>
          <w:bCs/>
          <w:color w:val="auto"/>
          <w:highlight w:val="none"/>
          <w:lang w:val="en-US" w:eastAsia="zh-CN"/>
        </w:rPr>
        <w:t>3</w:t>
      </w:r>
      <w:r>
        <w:rPr>
          <w:rFonts w:hint="eastAsia"/>
          <w:b w:val="0"/>
          <w:bCs w:val="0"/>
          <w:color w:val="auto"/>
          <w:highlight w:val="none"/>
          <w:lang w:val="en-US" w:eastAsia="zh-CN"/>
        </w:rPr>
        <w:t xml:space="preserve">  </w:t>
      </w:r>
      <w:r>
        <w:rPr>
          <w:rFonts w:hint="eastAsia"/>
          <w:b w:val="0"/>
          <w:bCs w:val="0"/>
          <w:strike w:val="0"/>
          <w:dstrike w:val="0"/>
          <w:color w:val="auto"/>
          <w:highlight w:val="none"/>
          <w:lang w:val="en-US" w:eastAsia="zh-CN"/>
        </w:rPr>
        <w:t>施工企业技术负责人应当到施工现场复核验收结果，并签名确认。对于已经完成验收且经施工企业技术负责人确认的属于“超过一定规模的危险性较大的分部分项工程范围（结构高度超过150m）”的“集成平台”工程</w:t>
      </w:r>
      <w:r>
        <w:rPr>
          <w:rFonts w:hint="eastAsia"/>
          <w:b w:val="0"/>
          <w:bCs w:val="0"/>
          <w:color w:val="auto"/>
          <w:highlight w:val="none"/>
          <w:lang w:val="en-US" w:eastAsia="zh-CN"/>
        </w:rPr>
        <w:t>，安全监督机构的安全监督员应到施工现场检查确认，并书面签署确认意见。</w:t>
      </w:r>
    </w:p>
    <w:p w14:paraId="5EDCA4AB">
      <w:pPr>
        <w:ind w:firstLine="482" w:firstLineChars="200"/>
        <w:rPr>
          <w:rFonts w:hint="eastAsia"/>
          <w:b w:val="0"/>
          <w:bCs w:val="0"/>
          <w:color w:val="auto"/>
          <w:highlight w:val="none"/>
          <w:lang w:val="en-US" w:eastAsia="zh-CN"/>
        </w:rPr>
      </w:pPr>
      <w:r>
        <w:rPr>
          <w:rFonts w:hint="eastAsia"/>
          <w:b/>
          <w:bCs/>
          <w:color w:val="auto"/>
          <w:highlight w:val="none"/>
          <w:lang w:val="en-US" w:eastAsia="zh-CN"/>
        </w:rPr>
        <w:t>4</w:t>
      </w:r>
      <w:r>
        <w:rPr>
          <w:rFonts w:hint="eastAsia"/>
          <w:b w:val="0"/>
          <w:bCs w:val="0"/>
          <w:color w:val="auto"/>
          <w:highlight w:val="none"/>
          <w:lang w:val="en-US" w:eastAsia="zh-CN"/>
        </w:rPr>
        <w:t xml:space="preserve">  验收合格后，施工单位应当在施工现场明显位置设置验收标识牌，公示验收时间及责任人员。</w:t>
      </w:r>
    </w:p>
    <w:p w14:paraId="714F5913">
      <w:pPr>
        <w:rPr>
          <w:rFonts w:hint="eastAsia" w:eastAsia="宋体"/>
          <w:b w:val="0"/>
          <w:bCs w:val="0"/>
          <w:color w:val="auto"/>
          <w:highlight w:val="none"/>
          <w:lang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eastAsia" w:ascii="Times New Roman" w:hAnsi="Times New Roman" w:eastAsia="宋体" w:cs="Times New Roman"/>
          <w:b/>
          <w:bCs/>
          <w:color w:val="auto"/>
          <w:kern w:val="0"/>
          <w:sz w:val="24"/>
          <w:szCs w:val="24"/>
          <w:highlight w:val="none"/>
          <w:lang w:val="en-US" w:eastAsia="zh-CN" w:bidi="ar"/>
        </w:rPr>
        <w:t>.</w:t>
      </w:r>
      <w:r>
        <w:rPr>
          <w:rFonts w:hint="eastAsia"/>
          <w:b/>
          <w:bCs/>
          <w:color w:val="auto"/>
          <w:highlight w:val="none"/>
          <w:lang w:val="en-US" w:eastAsia="zh-CN"/>
        </w:rPr>
        <w:t>4</w:t>
      </w:r>
      <w:r>
        <w:rPr>
          <w:rFonts w:hint="eastAsia"/>
          <w:b w:val="0"/>
          <w:bCs w:val="0"/>
          <w:color w:val="auto"/>
          <w:highlight w:val="none"/>
          <w:lang w:val="en-US" w:eastAsia="zh-CN"/>
        </w:rPr>
        <w:t xml:space="preserve">  验收应在规定的时间进行：出厂前、现场安装完成后、首次顶升/爬升前、进入正常使用前，以及后续定期或发生其他特殊情况时，不得超前或滞后验收，即进入下一道工序</w:t>
      </w:r>
      <w:r>
        <w:rPr>
          <w:rFonts w:hint="eastAsia"/>
          <w:b w:val="0"/>
          <w:bCs w:val="0"/>
          <w:color w:val="auto"/>
          <w:highlight w:val="none"/>
        </w:rPr>
        <w:t>。</w:t>
      </w:r>
      <w:r>
        <w:rPr>
          <w:rFonts w:hint="eastAsia"/>
          <w:b w:val="0"/>
          <w:bCs w:val="0"/>
          <w:color w:val="auto"/>
          <w:highlight w:val="none"/>
          <w:lang w:eastAsia="zh-CN"/>
        </w:rPr>
        <w:t xml:space="preserve">  </w:t>
      </w:r>
    </w:p>
    <w:p w14:paraId="5DCEF0F8">
      <w:pPr>
        <w:pStyle w:val="3"/>
        <w:bidi w:val="0"/>
        <w:rPr>
          <w:rFonts w:hint="eastAsia" w:cs="Times New Roman"/>
          <w:b/>
          <w:bCs/>
          <w:color w:val="auto"/>
          <w:kern w:val="0"/>
          <w:sz w:val="24"/>
          <w:szCs w:val="24"/>
          <w:highlight w:val="none"/>
          <w:lang w:val="en-US" w:eastAsia="zh-CN" w:bidi="ar"/>
        </w:rPr>
      </w:pPr>
      <w:bookmarkStart w:id="171" w:name="_Toc28054"/>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质量过程检查制度</w:t>
      </w:r>
      <w:bookmarkEnd w:id="171"/>
    </w:p>
    <w:p w14:paraId="31656CDB">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2</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eastAsia" w:ascii="Times New Roman" w:hAnsi="Times New Roman" w:eastAsia="宋体" w:cs="Times New Roman"/>
          <w:b/>
          <w:bCs/>
          <w:color w:val="auto"/>
          <w:kern w:val="0"/>
          <w:sz w:val="24"/>
          <w:szCs w:val="24"/>
          <w:highlight w:val="none"/>
          <w:lang w:val="en-US" w:eastAsia="zh-CN" w:bidi="ar"/>
        </w:rPr>
        <w:t xml:space="preserve"> </w:t>
      </w:r>
      <w:r>
        <w:rPr>
          <w:rFonts w:hint="eastAsia" w:cs="Times New Roman"/>
          <w:b/>
          <w:bCs/>
          <w:color w:val="auto"/>
          <w:kern w:val="0"/>
          <w:sz w:val="24"/>
          <w:szCs w:val="24"/>
          <w:highlight w:val="none"/>
          <w:lang w:val="en-US" w:eastAsia="zh-CN" w:bidi="ar"/>
        </w:rPr>
        <w:t xml:space="preserve"> </w:t>
      </w:r>
      <w:r>
        <w:rPr>
          <w:rFonts w:hint="eastAsia" w:cs="Times New Roman"/>
          <w:color w:val="auto"/>
          <w:highlight w:val="none"/>
          <w:lang w:val="en-US" w:eastAsia="zh-CN"/>
        </w:rPr>
        <w:t>开工前检验制度</w:t>
      </w:r>
    </w:p>
    <w:p w14:paraId="19EE41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设计文件、施工图纸经审核并依据此编制施工方案及质量计划；施工前已完成场地调查和复测，并符合要求；各种技术交底工作已进行，特殊作业、关键工序已编制作业指导书；采用的新技术、机具设备、原材料能满足工程质量需要。</w:t>
      </w:r>
    </w:p>
    <w:p w14:paraId="742F73F3">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2</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2</w:t>
      </w:r>
      <w:r>
        <w:rPr>
          <w:rFonts w:hint="eastAsia" w:cs="Times New Roman"/>
          <w:color w:val="auto"/>
          <w:highlight w:val="none"/>
          <w:lang w:val="en-US" w:eastAsia="zh-CN"/>
        </w:rPr>
        <w:t xml:space="preserve">  施工过程检验制度</w:t>
      </w:r>
    </w:p>
    <w:p w14:paraId="4CAB2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施工中应对以下工作经常进行抽查和重点检验：施工测量及放线正确，精度达到要求；按照图纸施工，操作方法正确，质量符合验收标准；施工原始记录填写完善，记载真实；有关保证工程质量的措施和管理制度是否落实；工班严格执行自检、互检、专检，并有交接记录；工程日志填写要符合实际。</w:t>
      </w:r>
    </w:p>
    <w:p w14:paraId="4EC0DF5A">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2</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3</w:t>
      </w:r>
      <w:r>
        <w:rPr>
          <w:rFonts w:hint="eastAsia" w:cs="Times New Roman"/>
          <w:color w:val="auto"/>
          <w:highlight w:val="none"/>
          <w:lang w:val="en-US" w:eastAsia="zh-CN"/>
        </w:rPr>
        <w:t xml:space="preserve">  定期质量检查制度</w:t>
      </w:r>
    </w:p>
    <w:p w14:paraId="2A11E9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项目部每周组织一次定期检查，由项目经理主持，质量部门和有关部门的人员参加。检查发现的问题要认真分析，找准主要原因，提出改进措施，限期进行整改。</w:t>
      </w:r>
    </w:p>
    <w:p w14:paraId="6A5B5B7A">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2</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4</w:t>
      </w:r>
      <w:r>
        <w:rPr>
          <w:rFonts w:hint="eastAsia" w:cs="Times New Roman"/>
          <w:color w:val="auto"/>
          <w:highlight w:val="none"/>
          <w:lang w:val="en-US" w:eastAsia="zh-CN"/>
        </w:rPr>
        <w:t xml:space="preserve">  原材料、半成品、设备及各种加工预制品的检查制度</w:t>
      </w:r>
    </w:p>
    <w:p w14:paraId="79FB6D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hint="eastAsia" w:cs="Times New Roman"/>
          <w:b/>
          <w:bCs/>
          <w:color w:val="auto"/>
          <w:kern w:val="0"/>
          <w:sz w:val="24"/>
          <w:szCs w:val="24"/>
          <w:highlight w:val="none"/>
          <w:lang w:val="en-US" w:eastAsia="zh-CN" w:bidi="ar"/>
        </w:rPr>
      </w:pPr>
      <w:r>
        <w:rPr>
          <w:rFonts w:hint="eastAsia" w:cs="Times New Roman"/>
          <w:color w:val="auto"/>
          <w:highlight w:val="none"/>
          <w:lang w:val="en-US" w:eastAsia="zh-CN"/>
        </w:rPr>
        <w:t>订货时应依据质量标准签订合同，必要时应先鉴定样品，经鉴定合格的样品应予封存，作为材料验收的依据。产品的进货验证由专业工程师、质量员和材料员三方验证合格后，方可使用。</w:t>
      </w:r>
    </w:p>
    <w:p w14:paraId="2F48FC58">
      <w:pPr>
        <w:pStyle w:val="3"/>
        <w:bidi w:val="0"/>
        <w:rPr>
          <w:rFonts w:hint="eastAsia" w:cs="Times New Roman"/>
          <w:b/>
          <w:bCs/>
          <w:color w:val="auto"/>
          <w:kern w:val="0"/>
          <w:sz w:val="24"/>
          <w:szCs w:val="24"/>
          <w:highlight w:val="none"/>
          <w:lang w:val="en-US" w:eastAsia="zh-CN" w:bidi="ar"/>
        </w:rPr>
      </w:pPr>
      <w:bookmarkStart w:id="172" w:name="_Toc31103"/>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出厂验收</w:t>
      </w:r>
      <w:bookmarkEnd w:id="172"/>
    </w:p>
    <w:p w14:paraId="49FF418A">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3</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eastAsia" w:ascii="Times New Roman" w:hAnsi="Times New Roman" w:eastAsia="宋体" w:cs="Times New Roman"/>
          <w:b/>
          <w:bCs/>
          <w:color w:val="auto"/>
          <w:kern w:val="0"/>
          <w:sz w:val="24"/>
          <w:szCs w:val="24"/>
          <w:highlight w:val="none"/>
          <w:lang w:val="en-US" w:eastAsia="zh-CN" w:bidi="ar"/>
        </w:rPr>
        <w:t xml:space="preserve"> </w:t>
      </w:r>
      <w:r>
        <w:rPr>
          <w:rFonts w:hint="eastAsia" w:cs="Times New Roman"/>
          <w:b/>
          <w:bCs/>
          <w:color w:val="auto"/>
          <w:kern w:val="0"/>
          <w:sz w:val="24"/>
          <w:szCs w:val="24"/>
          <w:highlight w:val="none"/>
          <w:lang w:val="en-US" w:eastAsia="zh-CN" w:bidi="ar"/>
        </w:rPr>
        <w:t xml:space="preserve"> </w:t>
      </w:r>
      <w:r>
        <w:rPr>
          <w:rFonts w:hint="eastAsia" w:cs="Times New Roman"/>
          <w:color w:val="auto"/>
          <w:highlight w:val="none"/>
          <w:lang w:val="en-US" w:eastAsia="zh-CN"/>
        </w:rPr>
        <w:t>集成平台在工厂制造完毕、发运前，应进行出厂验收，确认其符合设计文件、技术标准及合同要求。</w:t>
      </w:r>
    </w:p>
    <w:p w14:paraId="14FF865E">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3</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2</w:t>
      </w:r>
      <w:r>
        <w:rPr>
          <w:rFonts w:hint="eastAsia" w:cs="Times New Roman"/>
          <w:color w:val="auto"/>
          <w:highlight w:val="none"/>
          <w:lang w:val="en-US" w:eastAsia="zh-CN"/>
        </w:rPr>
        <w:t xml:space="preserve">  出厂验收应包括下列内容：</w:t>
      </w:r>
    </w:p>
    <w:p w14:paraId="3F21D39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结构部分：承重桁架、立柱、挂架、走道板、防护屏等构配件的材质、规格、焊缝质量、螺栓连接及防腐涂装质量；</w:t>
      </w:r>
    </w:p>
    <w:p w14:paraId="073613A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机构部分：液压/电动顶升（爬升）机构、防坠装置、导向装置、同步控制执行机构等的装配质量与动作灵活性；</w:t>
      </w:r>
    </w:p>
    <w:p w14:paraId="3BCD59AC">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电气部分：动力配电、照明、通信、传感器、控制柜及线缆敷设的合规性与标识；</w:t>
      </w:r>
    </w:p>
    <w:p w14:paraId="3D55E0C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控制系统：同步顶升/下降控制逻辑、荷载监测、位移监测、故障报警及应急回退（或锁定）功能的模拟测试；</w:t>
      </w:r>
    </w:p>
    <w:p w14:paraId="763CBC6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安全装置：防倾覆、防坠落、超载保护、上下限位、紧急停止等装置的完整性与可靠性抽检。</w:t>
      </w:r>
    </w:p>
    <w:p w14:paraId="5F53F427">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3</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3</w:t>
      </w:r>
      <w:r>
        <w:rPr>
          <w:rFonts w:hint="eastAsia" w:cs="Times New Roman"/>
          <w:color w:val="auto"/>
          <w:highlight w:val="none"/>
          <w:lang w:val="en-US" w:eastAsia="zh-CN"/>
        </w:rPr>
        <w:t xml:space="preserve">  出厂验收应核查产品合格证、主要材料/构配件质量证明文件、检验报告、操作与维护手册等资料是否齐全、有效。</w:t>
      </w:r>
    </w:p>
    <w:p w14:paraId="554B8EF2">
      <w:pPr>
        <w:pStyle w:val="3"/>
        <w:bidi w:val="0"/>
        <w:rPr>
          <w:rFonts w:hint="eastAsia" w:cs="Times New Roman"/>
          <w:b/>
          <w:bCs/>
          <w:color w:val="auto"/>
          <w:kern w:val="0"/>
          <w:sz w:val="24"/>
          <w:szCs w:val="24"/>
          <w:highlight w:val="none"/>
          <w:lang w:val="en-US" w:eastAsia="zh-CN" w:bidi="ar"/>
        </w:rPr>
      </w:pPr>
      <w:bookmarkStart w:id="173" w:name="_Toc16151"/>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现场安装验收</w:t>
      </w:r>
      <w:bookmarkEnd w:id="173"/>
    </w:p>
    <w:p w14:paraId="1C4373D4">
      <w:pPr>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4</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eastAsia" w:ascii="Times New Roman" w:hAnsi="Times New Roman" w:eastAsia="宋体" w:cs="Times New Roman"/>
          <w:b/>
          <w:bCs/>
          <w:color w:val="auto"/>
          <w:kern w:val="0"/>
          <w:sz w:val="24"/>
          <w:szCs w:val="24"/>
          <w:highlight w:val="none"/>
          <w:lang w:val="en-US" w:eastAsia="zh-CN" w:bidi="ar"/>
        </w:rPr>
        <w:t xml:space="preserve"> </w:t>
      </w:r>
      <w:r>
        <w:rPr>
          <w:rFonts w:hint="eastAsia" w:cs="Times New Roman"/>
          <w:b/>
          <w:bCs/>
          <w:color w:val="auto"/>
          <w:kern w:val="0"/>
          <w:sz w:val="24"/>
          <w:szCs w:val="24"/>
          <w:highlight w:val="none"/>
          <w:lang w:val="en-US" w:eastAsia="zh-CN" w:bidi="ar"/>
        </w:rPr>
        <w:t xml:space="preserve"> </w:t>
      </w:r>
      <w:r>
        <w:rPr>
          <w:rFonts w:hint="eastAsia" w:cs="Times New Roman"/>
          <w:color w:val="auto"/>
          <w:highlight w:val="none"/>
          <w:lang w:val="en-US" w:eastAsia="zh-CN"/>
        </w:rPr>
        <w:t>集成平台运抵现场并完成安装后，应经验收合格，方可进行调试和试运行。</w:t>
      </w:r>
    </w:p>
    <w:p w14:paraId="7504DE35">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 xml:space="preserve">1  </w:t>
      </w:r>
      <w:r>
        <w:rPr>
          <w:rFonts w:hint="eastAsia" w:cs="Times New Roman"/>
          <w:color w:val="auto"/>
          <w:highlight w:val="none"/>
          <w:lang w:val="en-US" w:eastAsia="zh-CN"/>
        </w:rPr>
        <w:t>构件进场验收。包含预埋件、钢柱、钢梁、楼承板、高强螺栓、焊接材料等外形尺寸。验收检查项有：合格证、质保书、使用说明、检测报告是否齐全，构件外观尺寸、焊缝质量外观、起拱值、端部铣平值、螺栓孔径大小等是否符合规范图纸要求。</w:t>
      </w:r>
    </w:p>
    <w:p w14:paraId="62B0EDC4">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 xml:space="preserve">2  </w:t>
      </w:r>
      <w:r>
        <w:rPr>
          <w:rFonts w:hint="eastAsia" w:cs="Times New Roman"/>
          <w:color w:val="auto"/>
          <w:highlight w:val="none"/>
          <w:lang w:val="en-US" w:eastAsia="zh-CN"/>
        </w:rPr>
        <w:t>原材送检。钢材原材料按60吨为一批次，抽样复验；板材≥40mm、设计有Z向性能要求的厚板，应进行抽样复验；高强螺栓按规范做连接摩擦面的抗滑移系数试验。</w:t>
      </w:r>
    </w:p>
    <w:p w14:paraId="4CCE0E01">
      <w:pPr>
        <w:ind w:firstLine="482" w:firstLineChars="200"/>
        <w:rPr>
          <w:rFonts w:hint="default" w:cs="Times New Roman"/>
          <w:color w:val="auto"/>
          <w:highlight w:val="none"/>
          <w:lang w:val="en-US" w:eastAsia="zh-CN"/>
        </w:rPr>
      </w:pPr>
      <w:r>
        <w:rPr>
          <w:rFonts w:hint="eastAsia" w:cs="Times New Roman"/>
          <w:b/>
          <w:bCs/>
          <w:color w:val="auto"/>
          <w:highlight w:val="none"/>
          <w:lang w:val="en-US" w:eastAsia="zh-CN"/>
        </w:rPr>
        <w:t xml:space="preserve">3  </w:t>
      </w:r>
      <w:r>
        <w:rPr>
          <w:rFonts w:hint="eastAsia" w:cs="Times New Roman"/>
          <w:color w:val="auto"/>
          <w:highlight w:val="none"/>
          <w:lang w:val="en-US" w:eastAsia="zh-CN"/>
        </w:rPr>
        <w:t>安防材料、操作平台验收。</w:t>
      </w:r>
    </w:p>
    <w:p w14:paraId="19BD1849">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（1）</w:t>
      </w:r>
      <w:r>
        <w:rPr>
          <w:rFonts w:hint="eastAsia" w:cs="Times New Roman"/>
          <w:color w:val="auto"/>
          <w:highlight w:val="none"/>
          <w:lang w:val="en-US" w:eastAsia="zh-CN"/>
        </w:rPr>
        <w:t>检查平台的材料、规格型号是否和方案相符。</w:t>
      </w:r>
    </w:p>
    <w:p w14:paraId="7DF03100">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（2）</w:t>
      </w:r>
      <w:r>
        <w:rPr>
          <w:rFonts w:hint="eastAsia" w:cs="Times New Roman"/>
          <w:color w:val="auto"/>
          <w:highlight w:val="none"/>
          <w:lang w:val="en-US" w:eastAsia="zh-CN"/>
        </w:rPr>
        <w:t>检查平台的固定点是否牢靠以及节点处理方式是否按方案来施工。</w:t>
      </w:r>
    </w:p>
    <w:p w14:paraId="15027C1F">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（3）</w:t>
      </w:r>
      <w:r>
        <w:rPr>
          <w:rFonts w:hint="eastAsia" w:cs="Times New Roman"/>
          <w:color w:val="auto"/>
          <w:highlight w:val="none"/>
          <w:lang w:val="en-US" w:eastAsia="zh-CN"/>
        </w:rPr>
        <w:t>检查操作平台的防护是否完善。</w:t>
      </w:r>
    </w:p>
    <w:p w14:paraId="6F8774E1">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（4）</w:t>
      </w:r>
      <w:r>
        <w:rPr>
          <w:rFonts w:hint="eastAsia" w:cs="Times New Roman"/>
          <w:color w:val="auto"/>
          <w:highlight w:val="none"/>
          <w:lang w:val="en-US" w:eastAsia="zh-CN"/>
        </w:rPr>
        <w:t>检查操作平台周围是否设置警示标语。</w:t>
      </w:r>
    </w:p>
    <w:p w14:paraId="70A603C4">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（5）</w:t>
      </w:r>
      <w:r>
        <w:rPr>
          <w:rFonts w:hint="eastAsia" w:cs="Times New Roman"/>
          <w:color w:val="auto"/>
          <w:highlight w:val="none"/>
          <w:lang w:val="en-US" w:eastAsia="zh-CN"/>
        </w:rPr>
        <w:t>检查现场购入的灭火器及消防设备是否过期、是否有合格证和相关部门检测证明。</w:t>
      </w:r>
    </w:p>
    <w:p w14:paraId="11C5E565">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（6）</w:t>
      </w:r>
      <w:r>
        <w:rPr>
          <w:rFonts w:hint="eastAsia" w:cs="Times New Roman"/>
          <w:color w:val="auto"/>
          <w:highlight w:val="none"/>
          <w:lang w:val="en-US" w:eastAsia="zh-CN"/>
        </w:rPr>
        <w:t>要求对现场购入的安全立杆、生命线、防坠器、安全网进行相应的安全试验。</w:t>
      </w:r>
    </w:p>
    <w:p w14:paraId="0F8E62EC">
      <w:pPr>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4</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2</w:t>
      </w:r>
      <w:r>
        <w:rPr>
          <w:rFonts w:hint="eastAsia" w:cs="Times New Roman"/>
          <w:color w:val="auto"/>
          <w:highlight w:val="none"/>
          <w:lang w:val="en-US" w:eastAsia="zh-CN"/>
        </w:rPr>
        <w:t xml:space="preserve">  现场安装验收应按“安装完成→调试完成→试运行（含12h以上连续考核）”三阶段逐步进行，前一阶段未通过验收，不得进入下一阶段。</w:t>
      </w:r>
    </w:p>
    <w:p w14:paraId="02D752C7">
      <w:pPr>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4</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3</w:t>
      </w:r>
      <w:r>
        <w:rPr>
          <w:rFonts w:hint="eastAsia" w:cs="Times New Roman"/>
          <w:color w:val="auto"/>
          <w:highlight w:val="none"/>
          <w:lang w:val="en-US" w:eastAsia="zh-CN"/>
        </w:rPr>
        <w:t xml:space="preserve">  安装完成检查应包括：构件安装位置、垂直度/水平度、连接节点紧固度、附墙（或支撑）点设置、平台与建筑结构间的间隙及安全防护设施搭设等是否符合专项施工方案要求。</w:t>
      </w:r>
    </w:p>
    <w:p w14:paraId="49248D48">
      <w:pPr>
        <w:ind w:firstLine="400" w:firstLineChars="200"/>
        <w:jc w:val="center"/>
        <w:rPr>
          <w:rFonts w:hint="default" w:ascii="Arial" w:hAnsi="Arial" w:eastAsia="黑体" w:cs="Arial"/>
          <w:color w:val="auto"/>
          <w:sz w:val="20"/>
          <w:szCs w:val="20"/>
          <w:highlight w:val="none"/>
          <w:lang w:val="en-US" w:eastAsia="zh-CN"/>
        </w:rPr>
      </w:pPr>
      <w:r>
        <w:rPr>
          <w:rFonts w:hint="default" w:ascii="Arial" w:hAnsi="Arial" w:eastAsia="黑体" w:cs="Arial"/>
          <w:color w:val="auto"/>
          <w:sz w:val="20"/>
          <w:szCs w:val="20"/>
          <w:highlight w:val="none"/>
          <w:lang w:val="en-US" w:eastAsia="zh-CN"/>
        </w:rPr>
        <w:t>表9.</w:t>
      </w:r>
      <w:r>
        <w:rPr>
          <w:rFonts w:hint="eastAsia" w:ascii="Arial" w:hAnsi="Arial" w:eastAsia="黑体" w:cs="Arial"/>
          <w:color w:val="auto"/>
          <w:sz w:val="20"/>
          <w:szCs w:val="20"/>
          <w:highlight w:val="none"/>
          <w:lang w:val="en-US" w:eastAsia="zh-CN"/>
        </w:rPr>
        <w:t>4</w:t>
      </w:r>
      <w:r>
        <w:rPr>
          <w:rFonts w:hint="default" w:ascii="Arial" w:hAnsi="Arial" w:eastAsia="黑体" w:cs="Arial"/>
          <w:color w:val="auto"/>
          <w:sz w:val="20"/>
          <w:szCs w:val="20"/>
          <w:highlight w:val="none"/>
          <w:lang w:val="en-US" w:eastAsia="zh-CN"/>
        </w:rPr>
        <w:t>.</w:t>
      </w:r>
      <w:r>
        <w:rPr>
          <w:rFonts w:hint="eastAsia" w:ascii="Arial" w:hAnsi="Arial" w:eastAsia="黑体" w:cs="Arial"/>
          <w:color w:val="auto"/>
          <w:sz w:val="20"/>
          <w:szCs w:val="20"/>
          <w:highlight w:val="none"/>
          <w:lang w:val="en-US" w:eastAsia="zh-CN"/>
        </w:rPr>
        <w:t>3</w:t>
      </w:r>
      <w:r>
        <w:rPr>
          <w:rFonts w:hint="default" w:ascii="Arial" w:hAnsi="Arial" w:eastAsia="黑体" w:cs="Arial"/>
          <w:color w:val="auto"/>
          <w:sz w:val="20"/>
          <w:szCs w:val="20"/>
          <w:highlight w:val="none"/>
          <w:lang w:val="en-US" w:eastAsia="zh-CN"/>
        </w:rPr>
        <w:t xml:space="preserve"> 现场组装检查验收表</w:t>
      </w:r>
    </w:p>
    <w:tbl>
      <w:tblPr>
        <w:tblStyle w:val="2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00"/>
        <w:gridCol w:w="2200"/>
        <w:gridCol w:w="2400"/>
        <w:gridCol w:w="2600"/>
        <w:gridCol w:w="1026"/>
      </w:tblGrid>
      <w:tr w14:paraId="5226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00" w:type="dxa"/>
            <w:noWrap w:val="0"/>
            <w:tcMar>
              <w:top w:w="60" w:type="dxa"/>
              <w:left w:w="100" w:type="dxa"/>
              <w:bottom w:w="60" w:type="dxa"/>
              <w:right w:w="100" w:type="dxa"/>
            </w:tcMar>
            <w:vAlign w:val="center"/>
          </w:tcPr>
          <w:p w14:paraId="66EED2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2200" w:type="dxa"/>
            <w:noWrap w:val="0"/>
            <w:tcMar>
              <w:top w:w="60" w:type="dxa"/>
              <w:left w:w="100" w:type="dxa"/>
              <w:bottom w:w="60" w:type="dxa"/>
              <w:right w:w="100" w:type="dxa"/>
            </w:tcMar>
            <w:vAlign w:val="center"/>
          </w:tcPr>
          <w:p w14:paraId="576A9D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检查项目</w:t>
            </w:r>
          </w:p>
        </w:tc>
        <w:tc>
          <w:tcPr>
            <w:tcW w:w="2400" w:type="dxa"/>
            <w:noWrap w:val="0"/>
            <w:tcMar>
              <w:top w:w="60" w:type="dxa"/>
              <w:left w:w="100" w:type="dxa"/>
              <w:bottom w:w="60" w:type="dxa"/>
              <w:right w:w="100" w:type="dxa"/>
            </w:tcMar>
            <w:vAlign w:val="center"/>
          </w:tcPr>
          <w:p w14:paraId="3CCC20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检查内容及方法</w:t>
            </w:r>
          </w:p>
        </w:tc>
        <w:tc>
          <w:tcPr>
            <w:tcW w:w="2600" w:type="dxa"/>
            <w:noWrap w:val="0"/>
            <w:tcMar>
              <w:top w:w="60" w:type="dxa"/>
              <w:left w:w="100" w:type="dxa"/>
              <w:bottom w:w="60" w:type="dxa"/>
              <w:right w:w="100" w:type="dxa"/>
            </w:tcMar>
            <w:vAlign w:val="center"/>
          </w:tcPr>
          <w:p w14:paraId="78EB6E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检查要求</w:t>
            </w:r>
          </w:p>
        </w:tc>
        <w:tc>
          <w:tcPr>
            <w:tcW w:w="1026" w:type="dxa"/>
            <w:noWrap w:val="0"/>
            <w:tcMar>
              <w:top w:w="60" w:type="dxa"/>
              <w:left w:w="100" w:type="dxa"/>
              <w:bottom w:w="60" w:type="dxa"/>
              <w:right w:w="100" w:type="dxa"/>
            </w:tcMar>
            <w:vAlign w:val="center"/>
          </w:tcPr>
          <w:p w14:paraId="39D61D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检查记录</w:t>
            </w:r>
          </w:p>
        </w:tc>
      </w:tr>
      <w:tr w14:paraId="63B6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noWrap w:val="0"/>
            <w:tcMar>
              <w:top w:w="60" w:type="dxa"/>
              <w:left w:w="100" w:type="dxa"/>
              <w:bottom w:w="60" w:type="dxa"/>
              <w:right w:w="100" w:type="dxa"/>
            </w:tcMar>
            <w:vAlign w:val="center"/>
          </w:tcPr>
          <w:p w14:paraId="67E58585">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1</w:t>
            </w:r>
          </w:p>
        </w:tc>
        <w:tc>
          <w:tcPr>
            <w:tcW w:w="2200" w:type="dxa"/>
            <w:noWrap w:val="0"/>
            <w:tcMar>
              <w:top w:w="60" w:type="dxa"/>
              <w:left w:w="100" w:type="dxa"/>
              <w:bottom w:w="60" w:type="dxa"/>
              <w:right w:w="100" w:type="dxa"/>
            </w:tcMar>
            <w:vAlign w:val="center"/>
          </w:tcPr>
          <w:p w14:paraId="6883C4A3">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焊接H型钢检查</w:t>
            </w:r>
          </w:p>
        </w:tc>
        <w:tc>
          <w:tcPr>
            <w:tcW w:w="2400" w:type="dxa"/>
            <w:noWrap w:val="0"/>
            <w:tcMar>
              <w:top w:w="60" w:type="dxa"/>
              <w:left w:w="100" w:type="dxa"/>
              <w:bottom w:w="60" w:type="dxa"/>
              <w:right w:w="100" w:type="dxa"/>
            </w:tcMar>
            <w:vAlign w:val="center"/>
          </w:tcPr>
          <w:p w14:paraId="28906EF2">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观察检查和钢尺检查（全数检查）</w:t>
            </w:r>
          </w:p>
        </w:tc>
        <w:tc>
          <w:tcPr>
            <w:tcW w:w="2600" w:type="dxa"/>
            <w:noWrap w:val="0"/>
            <w:tcMar>
              <w:top w:w="60" w:type="dxa"/>
              <w:left w:w="100" w:type="dxa"/>
              <w:bottom w:w="60" w:type="dxa"/>
              <w:right w:w="100" w:type="dxa"/>
            </w:tcMar>
            <w:vAlign w:val="center"/>
          </w:tcPr>
          <w:p w14:paraId="61BB39A7">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翼缘板拼接缝和腹板拼接缝的间距≥200mm；翼缘板拼接长度≥2倍板宽；腹板拼接宽度≥300mm，长度≥600mm</w:t>
            </w:r>
          </w:p>
        </w:tc>
        <w:tc>
          <w:tcPr>
            <w:tcW w:w="1026" w:type="dxa"/>
            <w:noWrap w:val="0"/>
            <w:tcMar>
              <w:top w:w="60" w:type="dxa"/>
              <w:left w:w="100" w:type="dxa"/>
              <w:bottom w:w="60" w:type="dxa"/>
              <w:right w:w="100" w:type="dxa"/>
            </w:tcMar>
            <w:vAlign w:val="center"/>
          </w:tcPr>
          <w:p w14:paraId="1D3AC82C">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p>
        </w:tc>
      </w:tr>
      <w:tr w14:paraId="2510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noWrap w:val="0"/>
            <w:tcMar>
              <w:top w:w="60" w:type="dxa"/>
              <w:left w:w="100" w:type="dxa"/>
              <w:bottom w:w="60" w:type="dxa"/>
              <w:right w:w="100" w:type="dxa"/>
            </w:tcMar>
            <w:vAlign w:val="center"/>
          </w:tcPr>
          <w:p w14:paraId="27351CB4">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2</w:t>
            </w:r>
          </w:p>
        </w:tc>
        <w:tc>
          <w:tcPr>
            <w:tcW w:w="2200" w:type="dxa"/>
            <w:noWrap w:val="0"/>
            <w:tcMar>
              <w:top w:w="60" w:type="dxa"/>
              <w:left w:w="100" w:type="dxa"/>
              <w:bottom w:w="60" w:type="dxa"/>
              <w:right w:w="100" w:type="dxa"/>
            </w:tcMar>
            <w:vAlign w:val="center"/>
          </w:tcPr>
          <w:p w14:paraId="6FDFE75D">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焊接H型钢允许偏差</w:t>
            </w:r>
          </w:p>
        </w:tc>
        <w:tc>
          <w:tcPr>
            <w:tcW w:w="2400" w:type="dxa"/>
            <w:noWrap w:val="0"/>
            <w:tcMar>
              <w:top w:w="60" w:type="dxa"/>
              <w:left w:w="100" w:type="dxa"/>
              <w:bottom w:w="60" w:type="dxa"/>
              <w:right w:w="100" w:type="dxa"/>
            </w:tcMar>
            <w:vAlign w:val="center"/>
          </w:tcPr>
          <w:p w14:paraId="38D7E5EC">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钢尺、角尺、塞尺等检查</w:t>
            </w:r>
          </w:p>
        </w:tc>
        <w:tc>
          <w:tcPr>
            <w:tcW w:w="2600" w:type="dxa"/>
            <w:noWrap w:val="0"/>
            <w:tcMar>
              <w:top w:w="60" w:type="dxa"/>
              <w:left w:w="100" w:type="dxa"/>
              <w:bottom w:w="60" w:type="dxa"/>
              <w:right w:w="100" w:type="dxa"/>
            </w:tcMar>
            <w:vAlign w:val="center"/>
          </w:tcPr>
          <w:p w14:paraId="1959932C">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截面高度±(2~4)mm，截面宽度±3mm，腹板中心偏移2mm，翼缘板垂直度b/100且≤3mm，弯曲矢高L/1000且≤10mm</w:t>
            </w:r>
          </w:p>
        </w:tc>
        <w:tc>
          <w:tcPr>
            <w:tcW w:w="1026" w:type="dxa"/>
            <w:noWrap w:val="0"/>
            <w:tcMar>
              <w:top w:w="60" w:type="dxa"/>
              <w:left w:w="100" w:type="dxa"/>
              <w:bottom w:w="60" w:type="dxa"/>
              <w:right w:w="100" w:type="dxa"/>
            </w:tcMar>
            <w:vAlign w:val="center"/>
          </w:tcPr>
          <w:p w14:paraId="46CBCB68">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p>
        </w:tc>
      </w:tr>
      <w:tr w14:paraId="1C8F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noWrap w:val="0"/>
            <w:tcMar>
              <w:top w:w="60" w:type="dxa"/>
              <w:left w:w="100" w:type="dxa"/>
              <w:bottom w:w="60" w:type="dxa"/>
              <w:right w:w="100" w:type="dxa"/>
            </w:tcMar>
            <w:vAlign w:val="center"/>
          </w:tcPr>
          <w:p w14:paraId="0B24AE8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3</w:t>
            </w:r>
          </w:p>
        </w:tc>
        <w:tc>
          <w:tcPr>
            <w:tcW w:w="2200" w:type="dxa"/>
            <w:noWrap w:val="0"/>
            <w:tcMar>
              <w:top w:w="60" w:type="dxa"/>
              <w:left w:w="100" w:type="dxa"/>
              <w:bottom w:w="60" w:type="dxa"/>
              <w:right w:w="100" w:type="dxa"/>
            </w:tcMar>
            <w:vAlign w:val="center"/>
          </w:tcPr>
          <w:p w14:paraId="27034546">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焊接连接组装检查</w:t>
            </w:r>
          </w:p>
        </w:tc>
        <w:tc>
          <w:tcPr>
            <w:tcW w:w="2400" w:type="dxa"/>
            <w:noWrap w:val="0"/>
            <w:tcMar>
              <w:top w:w="60" w:type="dxa"/>
              <w:left w:w="100" w:type="dxa"/>
              <w:bottom w:w="60" w:type="dxa"/>
              <w:right w:w="100" w:type="dxa"/>
            </w:tcMar>
            <w:vAlign w:val="center"/>
          </w:tcPr>
          <w:p w14:paraId="4D0CBC88">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钢尺检查</w:t>
            </w:r>
          </w:p>
        </w:tc>
        <w:tc>
          <w:tcPr>
            <w:tcW w:w="2600" w:type="dxa"/>
            <w:noWrap w:val="0"/>
            <w:tcMar>
              <w:top w:w="60" w:type="dxa"/>
              <w:left w:w="100" w:type="dxa"/>
              <w:bottom w:w="60" w:type="dxa"/>
              <w:right w:w="100" w:type="dxa"/>
            </w:tcMar>
            <w:vAlign w:val="center"/>
          </w:tcPr>
          <w:p w14:paraId="1A7CBA3D">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对口错边t/10且≤3mm，间隙±1mm，搭接长度±5mm，缝隙≤1.5mm</w:t>
            </w:r>
          </w:p>
        </w:tc>
        <w:tc>
          <w:tcPr>
            <w:tcW w:w="1026" w:type="dxa"/>
            <w:noWrap w:val="0"/>
            <w:tcMar>
              <w:top w:w="60" w:type="dxa"/>
              <w:left w:w="100" w:type="dxa"/>
              <w:bottom w:w="60" w:type="dxa"/>
              <w:right w:w="100" w:type="dxa"/>
            </w:tcMar>
            <w:vAlign w:val="center"/>
          </w:tcPr>
          <w:p w14:paraId="29EAEB5E">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p>
        </w:tc>
      </w:tr>
      <w:tr w14:paraId="32E5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noWrap w:val="0"/>
            <w:tcMar>
              <w:top w:w="60" w:type="dxa"/>
              <w:left w:w="100" w:type="dxa"/>
              <w:bottom w:w="60" w:type="dxa"/>
              <w:right w:w="100" w:type="dxa"/>
            </w:tcMar>
            <w:vAlign w:val="center"/>
          </w:tcPr>
          <w:p w14:paraId="08441C1B">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4</w:t>
            </w:r>
          </w:p>
        </w:tc>
        <w:tc>
          <w:tcPr>
            <w:tcW w:w="2200" w:type="dxa"/>
            <w:noWrap w:val="0"/>
            <w:tcMar>
              <w:top w:w="60" w:type="dxa"/>
              <w:left w:w="100" w:type="dxa"/>
              <w:bottom w:w="60" w:type="dxa"/>
              <w:right w:w="100" w:type="dxa"/>
            </w:tcMar>
            <w:vAlign w:val="center"/>
          </w:tcPr>
          <w:p w14:paraId="66E50381">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顶紧接触面检查</w:t>
            </w:r>
          </w:p>
        </w:tc>
        <w:tc>
          <w:tcPr>
            <w:tcW w:w="2400" w:type="dxa"/>
            <w:noWrap w:val="0"/>
            <w:tcMar>
              <w:top w:w="60" w:type="dxa"/>
              <w:left w:w="100" w:type="dxa"/>
              <w:bottom w:w="60" w:type="dxa"/>
              <w:right w:w="100" w:type="dxa"/>
            </w:tcMar>
            <w:vAlign w:val="center"/>
          </w:tcPr>
          <w:p w14:paraId="7C08372D">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0.3mm塞尺检查</w:t>
            </w:r>
          </w:p>
        </w:tc>
        <w:tc>
          <w:tcPr>
            <w:tcW w:w="2600" w:type="dxa"/>
            <w:noWrap w:val="0"/>
            <w:tcMar>
              <w:top w:w="60" w:type="dxa"/>
              <w:left w:w="100" w:type="dxa"/>
              <w:bottom w:w="60" w:type="dxa"/>
              <w:right w:w="100" w:type="dxa"/>
            </w:tcMar>
            <w:vAlign w:val="center"/>
          </w:tcPr>
          <w:p w14:paraId="3BF374E1">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塞尺塞入面积&lt;25%，边缘间隙≤0.8mm</w:t>
            </w:r>
          </w:p>
        </w:tc>
        <w:tc>
          <w:tcPr>
            <w:tcW w:w="1026" w:type="dxa"/>
            <w:noWrap w:val="0"/>
            <w:tcMar>
              <w:top w:w="60" w:type="dxa"/>
              <w:left w:w="100" w:type="dxa"/>
              <w:bottom w:w="60" w:type="dxa"/>
              <w:right w:w="100" w:type="dxa"/>
            </w:tcMar>
            <w:vAlign w:val="center"/>
          </w:tcPr>
          <w:p w14:paraId="31A650E4">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p>
        </w:tc>
      </w:tr>
      <w:tr w14:paraId="18ED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noWrap w:val="0"/>
            <w:tcMar>
              <w:top w:w="60" w:type="dxa"/>
              <w:left w:w="100" w:type="dxa"/>
              <w:bottom w:w="60" w:type="dxa"/>
              <w:right w:w="100" w:type="dxa"/>
            </w:tcMar>
            <w:vAlign w:val="center"/>
          </w:tcPr>
          <w:p w14:paraId="055FF78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5</w:t>
            </w:r>
          </w:p>
        </w:tc>
        <w:tc>
          <w:tcPr>
            <w:tcW w:w="2200" w:type="dxa"/>
            <w:noWrap w:val="0"/>
            <w:tcMar>
              <w:top w:w="60" w:type="dxa"/>
              <w:left w:w="100" w:type="dxa"/>
              <w:bottom w:w="60" w:type="dxa"/>
              <w:right w:w="100" w:type="dxa"/>
            </w:tcMar>
            <w:vAlign w:val="center"/>
          </w:tcPr>
          <w:p w14:paraId="3DEC91A8">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桁架结构杆件轴线交点检查</w:t>
            </w:r>
          </w:p>
        </w:tc>
        <w:tc>
          <w:tcPr>
            <w:tcW w:w="2400" w:type="dxa"/>
            <w:noWrap w:val="0"/>
            <w:tcMar>
              <w:top w:w="60" w:type="dxa"/>
              <w:left w:w="100" w:type="dxa"/>
              <w:bottom w:w="60" w:type="dxa"/>
              <w:right w:w="100" w:type="dxa"/>
            </w:tcMar>
            <w:vAlign w:val="center"/>
          </w:tcPr>
          <w:p w14:paraId="780874CB">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尺量检查</w:t>
            </w:r>
          </w:p>
        </w:tc>
        <w:tc>
          <w:tcPr>
            <w:tcW w:w="2600" w:type="dxa"/>
            <w:noWrap w:val="0"/>
            <w:tcMar>
              <w:top w:w="60" w:type="dxa"/>
              <w:left w:w="100" w:type="dxa"/>
              <w:bottom w:w="60" w:type="dxa"/>
              <w:right w:w="100" w:type="dxa"/>
            </w:tcMar>
            <w:vAlign w:val="center"/>
          </w:tcPr>
          <w:p w14:paraId="7A6AEFEE">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轴线交点错位允许偏差≤3.0mm</w:t>
            </w:r>
          </w:p>
        </w:tc>
        <w:tc>
          <w:tcPr>
            <w:tcW w:w="1026" w:type="dxa"/>
            <w:noWrap w:val="0"/>
            <w:tcMar>
              <w:top w:w="60" w:type="dxa"/>
              <w:left w:w="100" w:type="dxa"/>
              <w:bottom w:w="60" w:type="dxa"/>
              <w:right w:w="100" w:type="dxa"/>
            </w:tcMar>
            <w:vAlign w:val="center"/>
          </w:tcPr>
          <w:p w14:paraId="002301E4">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p>
        </w:tc>
      </w:tr>
      <w:tr w14:paraId="67022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noWrap w:val="0"/>
            <w:tcMar>
              <w:top w:w="60" w:type="dxa"/>
              <w:left w:w="100" w:type="dxa"/>
              <w:bottom w:w="60" w:type="dxa"/>
              <w:right w:w="100" w:type="dxa"/>
            </w:tcMar>
            <w:vAlign w:val="center"/>
          </w:tcPr>
          <w:p w14:paraId="7775F8B1">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6</w:t>
            </w:r>
          </w:p>
        </w:tc>
        <w:tc>
          <w:tcPr>
            <w:tcW w:w="2200" w:type="dxa"/>
            <w:noWrap w:val="0"/>
            <w:tcMar>
              <w:top w:w="60" w:type="dxa"/>
              <w:left w:w="100" w:type="dxa"/>
              <w:bottom w:w="60" w:type="dxa"/>
              <w:right w:w="100" w:type="dxa"/>
            </w:tcMar>
            <w:vAlign w:val="center"/>
          </w:tcPr>
          <w:p w14:paraId="37E94CD4">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端部铣平平整度检查</w:t>
            </w:r>
          </w:p>
        </w:tc>
        <w:tc>
          <w:tcPr>
            <w:tcW w:w="2400" w:type="dxa"/>
            <w:noWrap w:val="0"/>
            <w:tcMar>
              <w:top w:w="60" w:type="dxa"/>
              <w:left w:w="100" w:type="dxa"/>
              <w:bottom w:w="60" w:type="dxa"/>
              <w:right w:w="100" w:type="dxa"/>
            </w:tcMar>
            <w:vAlign w:val="center"/>
          </w:tcPr>
          <w:p w14:paraId="7A189F95">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钢尺、角尺、塞尺等检查</w:t>
            </w:r>
          </w:p>
        </w:tc>
        <w:tc>
          <w:tcPr>
            <w:tcW w:w="2600" w:type="dxa"/>
            <w:noWrap w:val="0"/>
            <w:tcMar>
              <w:top w:w="60" w:type="dxa"/>
              <w:left w:w="100" w:type="dxa"/>
              <w:bottom w:w="60" w:type="dxa"/>
              <w:right w:w="100" w:type="dxa"/>
            </w:tcMar>
            <w:vAlign w:val="center"/>
          </w:tcPr>
          <w:p w14:paraId="68F0AA07">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构件长度±2.0mm，零件长度±0.5mm，平面度0.3mm，垂直度l/1500</w:t>
            </w:r>
          </w:p>
        </w:tc>
        <w:tc>
          <w:tcPr>
            <w:tcW w:w="1026" w:type="dxa"/>
            <w:noWrap w:val="0"/>
            <w:tcMar>
              <w:top w:w="60" w:type="dxa"/>
              <w:left w:w="100" w:type="dxa"/>
              <w:bottom w:w="60" w:type="dxa"/>
              <w:right w:w="100" w:type="dxa"/>
            </w:tcMar>
            <w:vAlign w:val="center"/>
          </w:tcPr>
          <w:p w14:paraId="16D9CAC3">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p>
        </w:tc>
      </w:tr>
      <w:tr w14:paraId="3190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noWrap w:val="0"/>
            <w:tcMar>
              <w:top w:w="60" w:type="dxa"/>
              <w:left w:w="100" w:type="dxa"/>
              <w:bottom w:w="60" w:type="dxa"/>
              <w:right w:w="100" w:type="dxa"/>
            </w:tcMar>
            <w:vAlign w:val="center"/>
          </w:tcPr>
          <w:p w14:paraId="00BEB96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7</w:t>
            </w:r>
          </w:p>
        </w:tc>
        <w:tc>
          <w:tcPr>
            <w:tcW w:w="2200" w:type="dxa"/>
            <w:noWrap w:val="0"/>
            <w:tcMar>
              <w:top w:w="60" w:type="dxa"/>
              <w:left w:w="100" w:type="dxa"/>
              <w:bottom w:w="60" w:type="dxa"/>
              <w:right w:w="100" w:type="dxa"/>
            </w:tcMar>
            <w:vAlign w:val="center"/>
          </w:tcPr>
          <w:p w14:paraId="763BDC73">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安装焊缝坡口检查</w:t>
            </w:r>
          </w:p>
        </w:tc>
        <w:tc>
          <w:tcPr>
            <w:tcW w:w="2400" w:type="dxa"/>
            <w:noWrap w:val="0"/>
            <w:tcMar>
              <w:top w:w="60" w:type="dxa"/>
              <w:left w:w="100" w:type="dxa"/>
              <w:bottom w:w="60" w:type="dxa"/>
              <w:right w:w="100" w:type="dxa"/>
            </w:tcMar>
            <w:vAlign w:val="center"/>
          </w:tcPr>
          <w:p w14:paraId="753D6E64">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焊缝量规检查</w:t>
            </w:r>
          </w:p>
        </w:tc>
        <w:tc>
          <w:tcPr>
            <w:tcW w:w="2600" w:type="dxa"/>
            <w:noWrap w:val="0"/>
            <w:tcMar>
              <w:top w:w="60" w:type="dxa"/>
              <w:left w:w="100" w:type="dxa"/>
              <w:bottom w:w="60" w:type="dxa"/>
              <w:right w:w="100" w:type="dxa"/>
            </w:tcMar>
            <w:vAlign w:val="center"/>
          </w:tcPr>
          <w:p w14:paraId="60C27BAB">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坡口角度±5°，钝边±1.0mm</w:t>
            </w:r>
          </w:p>
        </w:tc>
        <w:tc>
          <w:tcPr>
            <w:tcW w:w="1026" w:type="dxa"/>
            <w:noWrap w:val="0"/>
            <w:tcMar>
              <w:top w:w="60" w:type="dxa"/>
              <w:left w:w="100" w:type="dxa"/>
              <w:bottom w:w="60" w:type="dxa"/>
              <w:right w:w="100" w:type="dxa"/>
            </w:tcMar>
            <w:vAlign w:val="center"/>
          </w:tcPr>
          <w:p w14:paraId="232DC186">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p>
        </w:tc>
      </w:tr>
      <w:tr w14:paraId="5011A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noWrap w:val="0"/>
            <w:tcMar>
              <w:top w:w="60" w:type="dxa"/>
              <w:left w:w="100" w:type="dxa"/>
              <w:bottom w:w="60" w:type="dxa"/>
              <w:right w:w="100" w:type="dxa"/>
            </w:tcMar>
            <w:vAlign w:val="center"/>
          </w:tcPr>
          <w:p w14:paraId="5AC49C35">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8</w:t>
            </w:r>
          </w:p>
        </w:tc>
        <w:tc>
          <w:tcPr>
            <w:tcW w:w="2200" w:type="dxa"/>
            <w:noWrap w:val="0"/>
            <w:tcMar>
              <w:top w:w="60" w:type="dxa"/>
              <w:left w:w="100" w:type="dxa"/>
              <w:bottom w:w="60" w:type="dxa"/>
              <w:right w:w="100" w:type="dxa"/>
            </w:tcMar>
            <w:vAlign w:val="center"/>
          </w:tcPr>
          <w:p w14:paraId="1CEEDC7D">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外露铣平面检查</w:t>
            </w:r>
          </w:p>
        </w:tc>
        <w:tc>
          <w:tcPr>
            <w:tcW w:w="2400" w:type="dxa"/>
            <w:noWrap w:val="0"/>
            <w:tcMar>
              <w:top w:w="60" w:type="dxa"/>
              <w:left w:w="100" w:type="dxa"/>
              <w:bottom w:w="60" w:type="dxa"/>
              <w:right w:w="100" w:type="dxa"/>
            </w:tcMar>
            <w:vAlign w:val="center"/>
          </w:tcPr>
          <w:p w14:paraId="37BA9C4D">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观察检查（全数检查）</w:t>
            </w:r>
          </w:p>
        </w:tc>
        <w:tc>
          <w:tcPr>
            <w:tcW w:w="2600" w:type="dxa"/>
            <w:noWrap w:val="0"/>
            <w:tcMar>
              <w:top w:w="60" w:type="dxa"/>
              <w:left w:w="100" w:type="dxa"/>
              <w:bottom w:w="60" w:type="dxa"/>
              <w:right w:w="100" w:type="dxa"/>
            </w:tcMar>
            <w:vAlign w:val="center"/>
          </w:tcPr>
          <w:p w14:paraId="55B0EF0E">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应有防锈保护</w:t>
            </w:r>
          </w:p>
        </w:tc>
        <w:tc>
          <w:tcPr>
            <w:tcW w:w="1026" w:type="dxa"/>
            <w:noWrap w:val="0"/>
            <w:tcMar>
              <w:top w:w="60" w:type="dxa"/>
              <w:left w:w="100" w:type="dxa"/>
              <w:bottom w:w="60" w:type="dxa"/>
              <w:right w:w="100" w:type="dxa"/>
            </w:tcMar>
            <w:vAlign w:val="center"/>
          </w:tcPr>
          <w:p w14:paraId="087E68C4">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p>
        </w:tc>
      </w:tr>
      <w:tr w14:paraId="45C5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noWrap w:val="0"/>
            <w:tcMar>
              <w:top w:w="60" w:type="dxa"/>
              <w:left w:w="100" w:type="dxa"/>
              <w:bottom w:w="60" w:type="dxa"/>
              <w:right w:w="100" w:type="dxa"/>
            </w:tcMar>
            <w:vAlign w:val="center"/>
          </w:tcPr>
          <w:p w14:paraId="2F1DAAAC">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9</w:t>
            </w:r>
          </w:p>
        </w:tc>
        <w:tc>
          <w:tcPr>
            <w:tcW w:w="2200" w:type="dxa"/>
            <w:noWrap w:val="0"/>
            <w:tcMar>
              <w:top w:w="60" w:type="dxa"/>
              <w:left w:w="100" w:type="dxa"/>
              <w:bottom w:w="60" w:type="dxa"/>
              <w:right w:w="100" w:type="dxa"/>
            </w:tcMar>
            <w:vAlign w:val="center"/>
          </w:tcPr>
          <w:p w14:paraId="0A286A06">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构件外形尺寸检查</w:t>
            </w:r>
          </w:p>
        </w:tc>
        <w:tc>
          <w:tcPr>
            <w:tcW w:w="2400" w:type="dxa"/>
            <w:noWrap w:val="0"/>
            <w:tcMar>
              <w:top w:w="60" w:type="dxa"/>
              <w:left w:w="100" w:type="dxa"/>
              <w:bottom w:w="60" w:type="dxa"/>
              <w:right w:w="100" w:type="dxa"/>
            </w:tcMar>
            <w:vAlign w:val="center"/>
          </w:tcPr>
          <w:p w14:paraId="19D57BB1">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钢尺检查（全数检查）</w:t>
            </w:r>
          </w:p>
        </w:tc>
        <w:tc>
          <w:tcPr>
            <w:tcW w:w="2600" w:type="dxa"/>
            <w:noWrap w:val="0"/>
            <w:tcMar>
              <w:top w:w="60" w:type="dxa"/>
              <w:left w:w="100" w:type="dxa"/>
              <w:bottom w:w="60" w:type="dxa"/>
              <w:right w:w="100" w:type="dxa"/>
            </w:tcMar>
            <w:vAlign w:val="center"/>
          </w:tcPr>
          <w:p w14:paraId="08890E68">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受力支托至安装孔±1.0mm，实腹梁外侧孔距±3.0mm，截面几何尺寸±3.0mm，腹板中心线偏移≤2.0mm</w:t>
            </w:r>
          </w:p>
        </w:tc>
        <w:tc>
          <w:tcPr>
            <w:tcW w:w="1026" w:type="dxa"/>
            <w:noWrap w:val="0"/>
            <w:tcMar>
              <w:top w:w="60" w:type="dxa"/>
              <w:left w:w="100" w:type="dxa"/>
              <w:bottom w:w="60" w:type="dxa"/>
              <w:right w:w="100" w:type="dxa"/>
            </w:tcMar>
            <w:vAlign w:val="center"/>
          </w:tcPr>
          <w:p w14:paraId="3246598E">
            <w:pPr>
              <w:keepNext w:val="0"/>
              <w:keepLines w:val="0"/>
              <w:pageBreakBefore w:val="0"/>
              <w:widowControl w:val="0"/>
              <w:kinsoku/>
              <w:wordWrap/>
              <w:overflowPunct/>
              <w:topLinePunct w:val="0"/>
              <w:autoSpaceDE/>
              <w:autoSpaceDN/>
              <w:bidi w:val="0"/>
              <w:adjustRightInd/>
              <w:snapToGrid/>
              <w:spacing w:before="20" w:after="20" w:line="240" w:lineRule="auto"/>
              <w:jc w:val="left"/>
              <w:textAlignment w:val="auto"/>
              <w:rPr>
                <w:rFonts w:hint="default" w:ascii="Times New Roman" w:hAnsi="Times New Roman" w:eastAsia="宋体" w:cs="Times New Roman"/>
                <w:color w:val="auto"/>
                <w:sz w:val="21"/>
                <w:szCs w:val="21"/>
                <w:highlight w:val="none"/>
              </w:rPr>
            </w:pPr>
          </w:p>
        </w:tc>
      </w:tr>
    </w:tbl>
    <w:p w14:paraId="150B12E1">
      <w:pPr>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4</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 xml:space="preserve">4 </w:t>
      </w:r>
      <w:r>
        <w:rPr>
          <w:rFonts w:hint="eastAsia" w:cs="Times New Roman"/>
          <w:color w:val="auto"/>
          <w:highlight w:val="none"/>
          <w:lang w:val="en-US" w:eastAsia="zh-CN"/>
        </w:rPr>
        <w:t xml:space="preserve"> 调试完成检查应包括：各机构单动与联动调试、控制系统通断与信号反馈、同步精度、液压系统保压性能、电气接地与绝缘等。</w:t>
      </w:r>
    </w:p>
    <w:p w14:paraId="607437C1">
      <w:pPr>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4</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5</w:t>
      </w:r>
      <w:r>
        <w:rPr>
          <w:rFonts w:hint="eastAsia" w:cs="Times New Roman"/>
          <w:color w:val="auto"/>
          <w:highlight w:val="none"/>
          <w:lang w:val="en-US" w:eastAsia="zh-CN"/>
        </w:rPr>
        <w:t xml:space="preserve">  试运行应在模拟或实际工况下进行，连续运行不少于12h，考核内容应包括：</w:t>
      </w:r>
    </w:p>
    <w:p w14:paraId="7352AC1F">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 xml:space="preserve">1  </w:t>
      </w:r>
      <w:r>
        <w:rPr>
          <w:rFonts w:hint="eastAsia" w:cs="Times New Roman"/>
          <w:color w:val="auto"/>
          <w:highlight w:val="none"/>
          <w:lang w:val="en-US" w:eastAsia="zh-CN"/>
        </w:rPr>
        <w:t>多次完整顶升/下降循环的动作平稳性与同步性；</w:t>
      </w:r>
    </w:p>
    <w:p w14:paraId="0AE687C6">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 xml:space="preserve">2  </w:t>
      </w:r>
      <w:r>
        <w:rPr>
          <w:rFonts w:hint="eastAsia" w:cs="Times New Roman"/>
          <w:color w:val="auto"/>
          <w:highlight w:val="none"/>
          <w:lang w:val="en-US" w:eastAsia="zh-CN"/>
        </w:rPr>
        <w:t>满载或额定荷载下的系统压力、变形及噪声；</w:t>
      </w:r>
    </w:p>
    <w:p w14:paraId="3B52C48E">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 xml:space="preserve">3  </w:t>
      </w:r>
      <w:r>
        <w:rPr>
          <w:rFonts w:hint="eastAsia" w:cs="Times New Roman"/>
          <w:color w:val="auto"/>
          <w:highlight w:val="none"/>
          <w:lang w:val="en-US" w:eastAsia="zh-CN"/>
        </w:rPr>
        <w:t>监测数据（位移、荷载、风速等）采集与传输的稳定性；</w:t>
      </w:r>
    </w:p>
    <w:p w14:paraId="38398B09">
      <w:pPr>
        <w:ind w:firstLine="482" w:firstLineChars="200"/>
        <w:rPr>
          <w:rFonts w:hint="eastAsia" w:cs="Times New Roman"/>
          <w:color w:val="auto"/>
          <w:highlight w:val="none"/>
          <w:lang w:val="en-US" w:eastAsia="zh-CN"/>
        </w:rPr>
      </w:pPr>
      <w:r>
        <w:rPr>
          <w:rFonts w:hint="eastAsia" w:cs="Times New Roman"/>
          <w:b/>
          <w:bCs/>
          <w:color w:val="auto"/>
          <w:highlight w:val="none"/>
          <w:lang w:val="en-US" w:eastAsia="zh-CN"/>
        </w:rPr>
        <w:t xml:space="preserve">4  </w:t>
      </w:r>
      <w:r>
        <w:rPr>
          <w:rFonts w:hint="eastAsia" w:cs="Times New Roman"/>
          <w:color w:val="auto"/>
          <w:highlight w:val="none"/>
          <w:lang w:val="en-US" w:eastAsia="zh-CN"/>
        </w:rPr>
        <w:t>安全保护装置在模拟触发条件下的响应可靠性。</w:t>
      </w:r>
    </w:p>
    <w:p w14:paraId="7E582E67">
      <w:pPr>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4</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6</w:t>
      </w:r>
      <w:r>
        <w:rPr>
          <w:rFonts w:hint="eastAsia" w:cs="Times New Roman"/>
          <w:color w:val="auto"/>
          <w:highlight w:val="none"/>
          <w:lang w:val="en-US" w:eastAsia="zh-CN"/>
        </w:rPr>
        <w:t xml:space="preserve">  试运行期间出现的故障、报警或异常，应记录、分析并彻底排除后，重新进行相应时段的考核，直至不少于12h连续运行无异常。</w:t>
      </w:r>
    </w:p>
    <w:p w14:paraId="43D91A0F">
      <w:pPr>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4</w:t>
      </w:r>
      <w:r>
        <w:rPr>
          <w:rFonts w:hint="eastAsia"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7</w:t>
      </w:r>
      <w:r>
        <w:rPr>
          <w:rFonts w:hint="eastAsia" w:cs="Times New Roman"/>
          <w:color w:val="auto"/>
          <w:highlight w:val="none"/>
          <w:lang w:val="en-US" w:eastAsia="zh-CN"/>
        </w:rPr>
        <w:t xml:space="preserve">  尺寸复核与定位</w:t>
      </w:r>
    </w:p>
    <w:p w14:paraId="3A33865B">
      <w:pPr>
        <w:ind w:firstLine="480" w:firstLineChars="200"/>
        <w:rPr>
          <w:rFonts w:hint="eastAsia" w:cs="Times New Roman"/>
          <w:color w:val="auto"/>
          <w:highlight w:val="none"/>
          <w:lang w:val="en-US" w:eastAsia="zh-CN"/>
        </w:rPr>
      </w:pPr>
      <w:r>
        <w:rPr>
          <w:rFonts w:hint="eastAsia" w:cs="Times New Roman"/>
          <w:color w:val="auto"/>
          <w:highlight w:val="none"/>
          <w:lang w:val="en-US" w:eastAsia="zh-CN"/>
        </w:rPr>
        <w:t>尺寸复核采用分阶段复核：支座安装完成后进行第一道尺寸复核，支承系统安装完成后进行支承系统的总体验收；钢平台安装完成后进行第二次总体复核，整体安装完成后进行总体验收。</w:t>
      </w:r>
    </w:p>
    <w:p w14:paraId="7DEFFB08">
      <w:pPr>
        <w:ind w:firstLine="400" w:firstLineChars="200"/>
        <w:jc w:val="center"/>
        <w:rPr>
          <w:rFonts w:hint="eastAsia" w:ascii="Arial" w:hAnsi="Arial" w:eastAsia="黑体" w:cs="Arial"/>
          <w:color w:val="auto"/>
          <w:sz w:val="20"/>
          <w:szCs w:val="20"/>
          <w:highlight w:val="none"/>
          <w:lang w:val="en-US" w:eastAsia="zh-CN"/>
        </w:rPr>
      </w:pPr>
      <w:r>
        <w:rPr>
          <w:rFonts w:hint="default" w:ascii="Arial" w:hAnsi="Arial" w:eastAsia="黑体" w:cs="Arial"/>
          <w:color w:val="auto"/>
          <w:sz w:val="20"/>
          <w:szCs w:val="20"/>
          <w:highlight w:val="none"/>
          <w:lang w:val="en-US" w:eastAsia="zh-CN"/>
        </w:rPr>
        <w:t>表9.</w:t>
      </w:r>
      <w:r>
        <w:rPr>
          <w:rFonts w:hint="eastAsia" w:ascii="Arial" w:hAnsi="Arial" w:eastAsia="黑体" w:cs="Arial"/>
          <w:color w:val="auto"/>
          <w:sz w:val="20"/>
          <w:szCs w:val="20"/>
          <w:highlight w:val="none"/>
          <w:lang w:val="en-US" w:eastAsia="zh-CN"/>
        </w:rPr>
        <w:t>4</w:t>
      </w:r>
      <w:r>
        <w:rPr>
          <w:rFonts w:hint="default" w:ascii="Arial" w:hAnsi="Arial" w:eastAsia="黑体" w:cs="Arial"/>
          <w:color w:val="auto"/>
          <w:sz w:val="20"/>
          <w:szCs w:val="20"/>
          <w:highlight w:val="none"/>
          <w:lang w:val="en-US" w:eastAsia="zh-CN"/>
        </w:rPr>
        <w:t>.</w:t>
      </w:r>
      <w:r>
        <w:rPr>
          <w:rFonts w:hint="eastAsia" w:ascii="Arial" w:hAnsi="Arial" w:eastAsia="黑体" w:cs="Arial"/>
          <w:color w:val="auto"/>
          <w:sz w:val="20"/>
          <w:szCs w:val="20"/>
          <w:highlight w:val="none"/>
          <w:lang w:val="en-US" w:eastAsia="zh-CN"/>
        </w:rPr>
        <w:t>7-1</w:t>
      </w:r>
      <w:r>
        <w:rPr>
          <w:rFonts w:hint="default" w:ascii="Arial" w:hAnsi="Arial" w:eastAsia="黑体" w:cs="Arial"/>
          <w:color w:val="auto"/>
          <w:sz w:val="20"/>
          <w:szCs w:val="20"/>
          <w:highlight w:val="none"/>
          <w:lang w:val="en-US" w:eastAsia="zh-CN"/>
        </w:rPr>
        <w:t xml:space="preserve"> </w:t>
      </w:r>
      <w:r>
        <w:rPr>
          <w:rFonts w:hint="eastAsia" w:ascii="Arial" w:hAnsi="Arial" w:eastAsia="黑体" w:cs="Arial"/>
          <w:color w:val="auto"/>
          <w:sz w:val="20"/>
          <w:szCs w:val="20"/>
          <w:highlight w:val="none"/>
          <w:lang w:val="en-US" w:eastAsia="zh-CN"/>
        </w:rPr>
        <w:t>支承系统、钢平台系统安装允许偏差及检验方法</w:t>
      </w:r>
    </w:p>
    <w:tbl>
      <w:tblPr>
        <w:tblStyle w:val="23"/>
        <w:tblW w:w="91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
        <w:gridCol w:w="789"/>
        <w:gridCol w:w="1289"/>
        <w:gridCol w:w="2253"/>
        <w:gridCol w:w="1695"/>
        <w:gridCol w:w="2182"/>
      </w:tblGrid>
      <w:tr w14:paraId="32C87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918" w:type="dxa"/>
            <w:tcBorders>
              <w:top w:val="single" w:color="000000" w:sz="8" w:space="0"/>
              <w:left w:val="single" w:color="000000" w:sz="8" w:space="0"/>
              <w:bottom w:val="single" w:color="000000" w:sz="4" w:space="0"/>
              <w:right w:val="single" w:color="000000" w:sz="4" w:space="0"/>
            </w:tcBorders>
            <w:shd w:val="clear" w:color="auto" w:fill="auto"/>
            <w:noWrap/>
            <w:vAlign w:val="center"/>
          </w:tcPr>
          <w:p w14:paraId="76C050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序号</w:t>
            </w:r>
          </w:p>
        </w:tc>
        <w:tc>
          <w:tcPr>
            <w:tcW w:w="4331" w:type="dxa"/>
            <w:gridSpan w:val="3"/>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2E164B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项目</w:t>
            </w:r>
          </w:p>
        </w:tc>
        <w:tc>
          <w:tcPr>
            <w:tcW w:w="1695" w:type="dxa"/>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477FDD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允许偏差</w:t>
            </w:r>
          </w:p>
        </w:tc>
        <w:tc>
          <w:tcPr>
            <w:tcW w:w="2182" w:type="dxa"/>
            <w:tcBorders>
              <w:top w:val="single" w:color="000000" w:sz="8" w:space="0"/>
              <w:left w:val="single" w:color="000000" w:sz="4" w:space="0"/>
              <w:bottom w:val="single" w:color="000000" w:sz="4" w:space="0"/>
              <w:right w:val="single" w:color="000000" w:sz="8" w:space="0"/>
            </w:tcBorders>
            <w:shd w:val="clear" w:color="auto" w:fill="FFFFFF"/>
            <w:noWrap w:val="0"/>
            <w:vAlign w:val="center"/>
          </w:tcPr>
          <w:p w14:paraId="411C89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检验方法</w:t>
            </w:r>
          </w:p>
        </w:tc>
      </w:tr>
      <w:tr w14:paraId="26063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restar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B97BEF6">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1</w:t>
            </w: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A166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支</w:t>
            </w:r>
            <w:r>
              <w:rPr>
                <w:rFonts w:hint="eastAsia" w:cs="Times New Roman"/>
                <w:b w:val="0"/>
                <w:bCs w:val="0"/>
                <w:color w:val="auto"/>
                <w:sz w:val="21"/>
                <w:szCs w:val="21"/>
                <w:highlight w:val="none"/>
                <w:lang w:val="en-US" w:eastAsia="zh-CN"/>
              </w:rPr>
              <w:t>承</w:t>
            </w:r>
            <w:r>
              <w:rPr>
                <w:rFonts w:hint="default" w:ascii="Times New Roman" w:hAnsi="Times New Roman" w:eastAsia="宋体" w:cs="Times New Roman"/>
                <w:b w:val="0"/>
                <w:bCs w:val="0"/>
                <w:color w:val="auto"/>
                <w:sz w:val="21"/>
                <w:szCs w:val="21"/>
                <w:highlight w:val="none"/>
                <w:lang w:val="en-US" w:eastAsia="zh-CN"/>
              </w:rPr>
              <w:t>系统</w:t>
            </w: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3E6D87">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承力件</w:t>
            </w: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439C7">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标高</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D4E0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±2.0mm</w:t>
            </w:r>
          </w:p>
        </w:tc>
        <w:tc>
          <w:tcPr>
            <w:tcW w:w="2182" w:type="dxa"/>
            <w:vMerge w:val="restart"/>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1ACCC1DA">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用全站仪、扫平仪、吊线、钢尺检查</w:t>
            </w:r>
          </w:p>
        </w:tc>
      </w:tr>
      <w:tr w14:paraId="12D82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DBCB9DF">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F58CD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ADD9D">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355C1">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垂直度</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43E26">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2.0mm</w:t>
            </w:r>
          </w:p>
        </w:tc>
        <w:tc>
          <w:tcPr>
            <w:tcW w:w="2182" w:type="dxa"/>
            <w:vMerge w:val="continue"/>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677CA32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r>
      <w:tr w14:paraId="4C45E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C34B267">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9B843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68EB79">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E844C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轴线位置</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FBAF9">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±2.0mm</w:t>
            </w:r>
          </w:p>
        </w:tc>
        <w:tc>
          <w:tcPr>
            <w:tcW w:w="2182" w:type="dxa"/>
            <w:vMerge w:val="continue"/>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38303E0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r>
      <w:tr w14:paraId="5E46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D0D74BB">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94FA04">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48864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支承架</w:t>
            </w: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7CB126">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标高</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B7B304">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±3.0mm</w:t>
            </w:r>
          </w:p>
        </w:tc>
        <w:tc>
          <w:tcPr>
            <w:tcW w:w="2182" w:type="dxa"/>
            <w:vMerge w:val="continue"/>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1A0B795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r>
      <w:tr w14:paraId="30D7C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BFE7F04">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E512C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FB316">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20A29">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垂直度</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1E95A">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3.0mm</w:t>
            </w:r>
          </w:p>
        </w:tc>
        <w:tc>
          <w:tcPr>
            <w:tcW w:w="2182" w:type="dxa"/>
            <w:vMerge w:val="continue"/>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71CABAE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r>
      <w:tr w14:paraId="54826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83F44F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1A9581">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0928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198D3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轴线位置</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53141">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±3.0mm</w:t>
            </w:r>
          </w:p>
        </w:tc>
        <w:tc>
          <w:tcPr>
            <w:tcW w:w="2182" w:type="dxa"/>
            <w:vMerge w:val="continue"/>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3756E5EA">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r>
      <w:tr w14:paraId="6693C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986165F">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03A4E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ED915">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转接框架</w:t>
            </w: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3211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标高</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2E762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±5.0mm</w:t>
            </w:r>
          </w:p>
        </w:tc>
        <w:tc>
          <w:tcPr>
            <w:tcW w:w="2182" w:type="dxa"/>
            <w:vMerge w:val="continue"/>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7922BEE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r>
      <w:tr w14:paraId="7A7DE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248382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C35F7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452751">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EAD979">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垂直度</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BCAC7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5.0mm</w:t>
            </w:r>
          </w:p>
        </w:tc>
        <w:tc>
          <w:tcPr>
            <w:tcW w:w="2182" w:type="dxa"/>
            <w:vMerge w:val="continue"/>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1E20934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r>
      <w:tr w14:paraId="44400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480BD5F">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DA0D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E2F0E5">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5B876">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轴线位置</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3A8F7">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±5.0mm</w:t>
            </w:r>
          </w:p>
        </w:tc>
        <w:tc>
          <w:tcPr>
            <w:tcW w:w="2182" w:type="dxa"/>
            <w:vMerge w:val="continue"/>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44C65957">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r>
      <w:tr w14:paraId="0CF9F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restar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7842091">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2</w:t>
            </w: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84D74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eastAsia" w:cs="Times New Roman"/>
                <w:b w:val="0"/>
                <w:bCs w:val="0"/>
                <w:color w:val="auto"/>
                <w:sz w:val="21"/>
                <w:szCs w:val="21"/>
                <w:highlight w:val="none"/>
                <w:lang w:val="en-US" w:eastAsia="zh-CN"/>
              </w:rPr>
              <w:t>钢平台</w:t>
            </w:r>
            <w:r>
              <w:rPr>
                <w:rFonts w:hint="default" w:ascii="Times New Roman" w:hAnsi="Times New Roman" w:eastAsia="宋体" w:cs="Times New Roman"/>
                <w:b w:val="0"/>
                <w:bCs w:val="0"/>
                <w:color w:val="auto"/>
                <w:sz w:val="21"/>
                <w:szCs w:val="21"/>
                <w:highlight w:val="none"/>
                <w:lang w:val="en-US" w:eastAsia="zh-CN"/>
              </w:rPr>
              <w:t>系统</w:t>
            </w: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1EDDCD">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支承立柱</w:t>
            </w: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BE055D">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标高</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C7C3E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±10.0mm</w:t>
            </w:r>
          </w:p>
        </w:tc>
        <w:tc>
          <w:tcPr>
            <w:tcW w:w="2182" w:type="dxa"/>
            <w:vMerge w:val="restart"/>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5C9B94FA">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用全站仪、扫平仪、吊线、钢尺检查</w:t>
            </w:r>
          </w:p>
        </w:tc>
      </w:tr>
      <w:tr w14:paraId="3C055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ACC8481">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7F8BDF">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6A128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E5D9B">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垂直度</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5ED73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10.0mm</w:t>
            </w:r>
          </w:p>
        </w:tc>
        <w:tc>
          <w:tcPr>
            <w:tcW w:w="2182" w:type="dxa"/>
            <w:vMerge w:val="continue"/>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31FD7F5C">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r>
      <w:tr w14:paraId="1C4CC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CA904D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62C535">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2BB6BD">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21154">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轴线位置</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75F9D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10</w:t>
            </w:r>
            <w:r>
              <w:rPr>
                <w:rFonts w:hint="default" w:ascii="Times New Roman" w:hAnsi="Times New Roman" w:eastAsia="宋体" w:cs="Times New Roman"/>
                <w:b w:val="0"/>
                <w:bCs w:val="0"/>
                <w:color w:val="auto"/>
                <w:sz w:val="21"/>
                <w:szCs w:val="21"/>
                <w:highlight w:val="none"/>
                <w:lang w:val="en-US" w:eastAsia="zh-CN"/>
              </w:rPr>
              <w:t>.0mm</w:t>
            </w:r>
          </w:p>
        </w:tc>
        <w:tc>
          <w:tcPr>
            <w:tcW w:w="2182" w:type="dxa"/>
            <w:vMerge w:val="continue"/>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3790C97C">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r>
      <w:tr w14:paraId="743C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93EB974">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A502B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F980EC">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钢平台</w:t>
            </w: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FAAB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标高</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BDEF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±10.0mm</w:t>
            </w:r>
          </w:p>
        </w:tc>
        <w:tc>
          <w:tcPr>
            <w:tcW w:w="2182" w:type="dxa"/>
            <w:vMerge w:val="restart"/>
            <w:tcBorders>
              <w:top w:val="single" w:color="000000" w:sz="4" w:space="0"/>
              <w:left w:val="single" w:color="000000" w:sz="4" w:space="0"/>
              <w:bottom w:val="single" w:color="000000" w:sz="8" w:space="0"/>
              <w:right w:val="single" w:color="000000" w:sz="8" w:space="0"/>
            </w:tcBorders>
            <w:shd w:val="clear" w:color="auto" w:fill="FFFFFF"/>
            <w:noWrap w:val="0"/>
            <w:vAlign w:val="center"/>
          </w:tcPr>
          <w:p w14:paraId="5617779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用水准仪、全站仪检查</w:t>
            </w:r>
          </w:p>
        </w:tc>
      </w:tr>
      <w:tr w14:paraId="62F8D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1369CA7">
            <w:pPr>
              <w:jc w:val="center"/>
              <w:rPr>
                <w:rFonts w:hint="default" w:ascii="Times New Roman" w:hAnsi="Times New Roman" w:eastAsia="宋体" w:cs="Times New Roman"/>
                <w:i w:val="0"/>
                <w:iCs w:val="0"/>
                <w:color w:val="0F1115"/>
                <w:sz w:val="21"/>
                <w:szCs w:val="21"/>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EE43F1">
            <w:pPr>
              <w:jc w:val="center"/>
              <w:rPr>
                <w:rFonts w:hint="default" w:ascii="Times New Roman" w:hAnsi="Times New Roman" w:eastAsia="宋体" w:cs="Times New Roman"/>
                <w:i w:val="0"/>
                <w:iCs w:val="0"/>
                <w:color w:val="0F1115"/>
                <w:sz w:val="21"/>
                <w:szCs w:val="21"/>
                <w:u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AEBE9">
            <w:pPr>
              <w:jc w:val="center"/>
              <w:rPr>
                <w:rFonts w:hint="default" w:ascii="Times New Roman" w:hAnsi="Times New Roman" w:eastAsia="宋体" w:cs="Times New Roman"/>
                <w:i w:val="0"/>
                <w:iCs w:val="0"/>
                <w:color w:val="0F1115"/>
                <w:sz w:val="21"/>
                <w:szCs w:val="21"/>
                <w:u w:val="none"/>
              </w:rPr>
            </w:pP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DF6CC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轴线位置</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6EE2A">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±10.0mm</w:t>
            </w:r>
          </w:p>
        </w:tc>
        <w:tc>
          <w:tcPr>
            <w:tcW w:w="2182" w:type="dxa"/>
            <w:vMerge w:val="continue"/>
            <w:tcBorders>
              <w:top w:val="single" w:color="000000" w:sz="4" w:space="0"/>
              <w:left w:val="single" w:color="000000" w:sz="4" w:space="0"/>
              <w:bottom w:val="single" w:color="000000" w:sz="8" w:space="0"/>
              <w:right w:val="single" w:color="000000" w:sz="8" w:space="0"/>
            </w:tcBorders>
            <w:shd w:val="clear" w:color="auto" w:fill="FFFFFF"/>
            <w:noWrap w:val="0"/>
            <w:vAlign w:val="center"/>
          </w:tcPr>
          <w:p w14:paraId="71427D39">
            <w:pPr>
              <w:jc w:val="center"/>
              <w:rPr>
                <w:rFonts w:hint="default" w:ascii="Times New Roman" w:hAnsi="Times New Roman" w:eastAsia="宋体" w:cs="Times New Roman"/>
                <w:i w:val="0"/>
                <w:iCs w:val="0"/>
                <w:color w:val="0F1115"/>
                <w:sz w:val="21"/>
                <w:szCs w:val="21"/>
                <w:u w:val="none"/>
              </w:rPr>
            </w:pPr>
          </w:p>
        </w:tc>
      </w:tr>
      <w:tr w14:paraId="7090A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FB69B4C">
            <w:pPr>
              <w:jc w:val="center"/>
              <w:rPr>
                <w:rFonts w:hint="default" w:ascii="Times New Roman" w:hAnsi="Times New Roman" w:eastAsia="宋体" w:cs="Times New Roman"/>
                <w:i w:val="0"/>
                <w:iCs w:val="0"/>
                <w:color w:val="0F1115"/>
                <w:sz w:val="21"/>
                <w:szCs w:val="21"/>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223902">
            <w:pPr>
              <w:jc w:val="center"/>
              <w:rPr>
                <w:rFonts w:hint="default" w:ascii="Times New Roman" w:hAnsi="Times New Roman" w:eastAsia="宋体" w:cs="Times New Roman"/>
                <w:i w:val="0"/>
                <w:iCs w:val="0"/>
                <w:color w:val="0F1115"/>
                <w:sz w:val="21"/>
                <w:szCs w:val="21"/>
                <w:u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F0BA4">
            <w:pPr>
              <w:jc w:val="center"/>
              <w:rPr>
                <w:rFonts w:hint="default" w:ascii="Times New Roman" w:hAnsi="Times New Roman" w:eastAsia="宋体" w:cs="Times New Roman"/>
                <w:i w:val="0"/>
                <w:iCs w:val="0"/>
                <w:color w:val="0F1115"/>
                <w:sz w:val="21"/>
                <w:szCs w:val="21"/>
                <w:u w:val="none"/>
              </w:rPr>
            </w:pP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85942C">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立柱间平台挠度</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411D8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L1/200</w:t>
            </w:r>
          </w:p>
        </w:tc>
        <w:tc>
          <w:tcPr>
            <w:tcW w:w="2182" w:type="dxa"/>
            <w:vMerge w:val="continue"/>
            <w:tcBorders>
              <w:top w:val="single" w:color="000000" w:sz="4" w:space="0"/>
              <w:left w:val="single" w:color="000000" w:sz="4" w:space="0"/>
              <w:bottom w:val="single" w:color="000000" w:sz="8" w:space="0"/>
              <w:right w:val="single" w:color="000000" w:sz="8" w:space="0"/>
            </w:tcBorders>
            <w:shd w:val="clear" w:color="auto" w:fill="FFFFFF"/>
            <w:noWrap w:val="0"/>
            <w:vAlign w:val="center"/>
          </w:tcPr>
          <w:p w14:paraId="0907EE36">
            <w:pPr>
              <w:jc w:val="center"/>
              <w:rPr>
                <w:rFonts w:hint="default" w:ascii="Times New Roman" w:hAnsi="Times New Roman" w:eastAsia="宋体" w:cs="Times New Roman"/>
                <w:i w:val="0"/>
                <w:iCs w:val="0"/>
                <w:color w:val="0F1115"/>
                <w:sz w:val="21"/>
                <w:szCs w:val="21"/>
                <w:u w:val="none"/>
              </w:rPr>
            </w:pPr>
          </w:p>
        </w:tc>
      </w:tr>
      <w:tr w14:paraId="1D6D9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18"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666B080">
            <w:pPr>
              <w:jc w:val="center"/>
              <w:rPr>
                <w:rFonts w:hint="default" w:ascii="Times New Roman" w:hAnsi="Times New Roman" w:eastAsia="宋体" w:cs="Times New Roman"/>
                <w:i w:val="0"/>
                <w:iCs w:val="0"/>
                <w:color w:val="0F1115"/>
                <w:sz w:val="21"/>
                <w:szCs w:val="21"/>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89B813">
            <w:pPr>
              <w:jc w:val="center"/>
              <w:rPr>
                <w:rFonts w:hint="default" w:ascii="Times New Roman" w:hAnsi="Times New Roman" w:eastAsia="宋体" w:cs="Times New Roman"/>
                <w:i w:val="0"/>
                <w:iCs w:val="0"/>
                <w:color w:val="0F1115"/>
                <w:sz w:val="21"/>
                <w:szCs w:val="21"/>
                <w:u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D120F">
            <w:pPr>
              <w:jc w:val="center"/>
              <w:rPr>
                <w:rFonts w:hint="default" w:ascii="Times New Roman" w:hAnsi="Times New Roman" w:eastAsia="宋体" w:cs="Times New Roman"/>
                <w:i w:val="0"/>
                <w:iCs w:val="0"/>
                <w:color w:val="0F1115"/>
                <w:sz w:val="21"/>
                <w:szCs w:val="21"/>
                <w:u w:val="none"/>
              </w:rPr>
            </w:pPr>
          </w:p>
        </w:tc>
        <w:tc>
          <w:tcPr>
            <w:tcW w:w="2253" w:type="dxa"/>
            <w:tcBorders>
              <w:top w:val="single" w:color="000000" w:sz="4" w:space="0"/>
              <w:left w:val="single" w:color="000000" w:sz="4" w:space="0"/>
              <w:bottom w:val="single" w:color="000000" w:sz="8" w:space="0"/>
              <w:right w:val="single" w:color="000000" w:sz="4" w:space="0"/>
            </w:tcBorders>
            <w:shd w:val="clear" w:color="auto" w:fill="FFFFFF"/>
            <w:noWrap w:val="0"/>
            <w:vAlign w:val="center"/>
          </w:tcPr>
          <w:p w14:paraId="3B0B7CC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悬挑端平台挠度</w:t>
            </w:r>
          </w:p>
        </w:tc>
        <w:tc>
          <w:tcPr>
            <w:tcW w:w="1695" w:type="dxa"/>
            <w:tcBorders>
              <w:top w:val="single" w:color="000000" w:sz="4" w:space="0"/>
              <w:left w:val="single" w:color="000000" w:sz="4" w:space="0"/>
              <w:bottom w:val="single" w:color="000000" w:sz="8" w:space="0"/>
              <w:right w:val="single" w:color="000000" w:sz="4" w:space="0"/>
            </w:tcBorders>
            <w:shd w:val="clear" w:color="auto" w:fill="FFFFFF"/>
            <w:noWrap w:val="0"/>
            <w:vAlign w:val="center"/>
          </w:tcPr>
          <w:p w14:paraId="417E4235">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L2/150</w:t>
            </w:r>
          </w:p>
        </w:tc>
        <w:tc>
          <w:tcPr>
            <w:tcW w:w="2182" w:type="dxa"/>
            <w:vMerge w:val="continue"/>
            <w:tcBorders>
              <w:top w:val="single" w:color="000000" w:sz="4" w:space="0"/>
              <w:left w:val="single" w:color="000000" w:sz="4" w:space="0"/>
              <w:bottom w:val="single" w:color="000000" w:sz="8" w:space="0"/>
              <w:right w:val="single" w:color="000000" w:sz="8" w:space="0"/>
            </w:tcBorders>
            <w:shd w:val="clear" w:color="auto" w:fill="FFFFFF"/>
            <w:noWrap w:val="0"/>
            <w:vAlign w:val="center"/>
          </w:tcPr>
          <w:p w14:paraId="33FE9F08">
            <w:pPr>
              <w:jc w:val="center"/>
              <w:rPr>
                <w:rFonts w:hint="default" w:ascii="Times New Roman" w:hAnsi="Times New Roman" w:eastAsia="宋体" w:cs="Times New Roman"/>
                <w:i w:val="0"/>
                <w:iCs w:val="0"/>
                <w:color w:val="0F1115"/>
                <w:sz w:val="21"/>
                <w:szCs w:val="21"/>
                <w:u w:val="none"/>
              </w:rPr>
            </w:pPr>
          </w:p>
        </w:tc>
      </w:tr>
    </w:tbl>
    <w:p w14:paraId="31480D23">
      <w:pPr>
        <w:keepNext w:val="0"/>
        <w:keepLines w:val="0"/>
        <w:pageBreakBefore w:val="0"/>
        <w:widowControl w:val="0"/>
        <w:kinsoku/>
        <w:wordWrap/>
        <w:overflowPunct/>
        <w:topLinePunct w:val="0"/>
        <w:autoSpaceDE/>
        <w:autoSpaceDN/>
        <w:bidi w:val="0"/>
        <w:adjustRightInd/>
        <w:snapToGrid/>
        <w:spacing w:before="20" w:after="20" w:line="240" w:lineRule="auto"/>
        <w:jc w:val="both"/>
        <w:textAlignment w:val="auto"/>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注：表中 L1为</w:t>
      </w:r>
      <w:r>
        <w:rPr>
          <w:rFonts w:hint="default" w:ascii="宋体" w:hAnsi="宋体" w:eastAsia="宋体" w:cs="宋体"/>
          <w:b w:val="0"/>
          <w:bCs w:val="0"/>
          <w:color w:val="auto"/>
          <w:sz w:val="20"/>
          <w:szCs w:val="20"/>
          <w:highlight w:val="none"/>
          <w:lang w:val="en-US" w:eastAsia="zh-CN"/>
        </w:rPr>
        <w:t>支承立柱</w:t>
      </w:r>
      <w:r>
        <w:rPr>
          <w:rFonts w:hint="eastAsia" w:ascii="宋体" w:hAnsi="宋体" w:eastAsia="宋体" w:cs="宋体"/>
          <w:b w:val="0"/>
          <w:bCs w:val="0"/>
          <w:color w:val="auto"/>
          <w:sz w:val="20"/>
          <w:szCs w:val="20"/>
          <w:highlight w:val="none"/>
          <w:lang w:val="en-US" w:eastAsia="zh-CN"/>
        </w:rPr>
        <w:t>形心间的距离，L2为</w:t>
      </w:r>
      <w:r>
        <w:rPr>
          <w:rFonts w:hint="default" w:ascii="宋体" w:hAnsi="宋体" w:eastAsia="宋体" w:cs="宋体"/>
          <w:b w:val="0"/>
          <w:bCs w:val="0"/>
          <w:color w:val="auto"/>
          <w:sz w:val="20"/>
          <w:szCs w:val="20"/>
          <w:highlight w:val="none"/>
          <w:lang w:val="en-US" w:eastAsia="zh-CN"/>
        </w:rPr>
        <w:t>支承立柱</w:t>
      </w:r>
      <w:r>
        <w:rPr>
          <w:rFonts w:hint="eastAsia" w:ascii="宋体" w:hAnsi="宋体" w:eastAsia="宋体" w:cs="宋体"/>
          <w:b w:val="0"/>
          <w:bCs w:val="0"/>
          <w:color w:val="auto"/>
          <w:sz w:val="20"/>
          <w:szCs w:val="20"/>
          <w:highlight w:val="none"/>
          <w:lang w:val="en-US" w:eastAsia="zh-CN"/>
        </w:rPr>
        <w:t>形心至钢平台最外边缘的水平距离。</w:t>
      </w:r>
    </w:p>
    <w:p w14:paraId="6DCBD1E2">
      <w:pPr>
        <w:ind w:firstLine="400" w:firstLineChars="200"/>
        <w:jc w:val="center"/>
        <w:rPr>
          <w:rFonts w:hint="eastAsia" w:ascii="Arial" w:hAnsi="Arial" w:eastAsia="黑体" w:cs="Arial"/>
          <w:color w:val="auto"/>
          <w:sz w:val="20"/>
          <w:szCs w:val="20"/>
          <w:highlight w:val="none"/>
          <w:lang w:val="en-US" w:eastAsia="zh-CN"/>
        </w:rPr>
      </w:pPr>
      <w:r>
        <w:rPr>
          <w:rFonts w:hint="default" w:ascii="Arial" w:hAnsi="Arial" w:eastAsia="黑体" w:cs="Arial"/>
          <w:color w:val="auto"/>
          <w:sz w:val="20"/>
          <w:szCs w:val="20"/>
          <w:highlight w:val="none"/>
          <w:lang w:val="en-US" w:eastAsia="zh-CN"/>
        </w:rPr>
        <w:t>表9.</w:t>
      </w:r>
      <w:r>
        <w:rPr>
          <w:rFonts w:hint="eastAsia" w:ascii="Arial" w:hAnsi="Arial" w:eastAsia="黑体" w:cs="Arial"/>
          <w:color w:val="auto"/>
          <w:sz w:val="20"/>
          <w:szCs w:val="20"/>
          <w:highlight w:val="none"/>
          <w:lang w:val="en-US" w:eastAsia="zh-CN"/>
        </w:rPr>
        <w:t>4</w:t>
      </w:r>
      <w:r>
        <w:rPr>
          <w:rFonts w:hint="default" w:ascii="Arial" w:hAnsi="Arial" w:eastAsia="黑体" w:cs="Arial"/>
          <w:color w:val="auto"/>
          <w:sz w:val="20"/>
          <w:szCs w:val="20"/>
          <w:highlight w:val="none"/>
          <w:lang w:val="en-US" w:eastAsia="zh-CN"/>
        </w:rPr>
        <w:t>.</w:t>
      </w:r>
      <w:r>
        <w:rPr>
          <w:rFonts w:hint="eastAsia" w:ascii="Arial" w:hAnsi="Arial" w:eastAsia="黑体" w:cs="Arial"/>
          <w:color w:val="auto"/>
          <w:sz w:val="20"/>
          <w:szCs w:val="20"/>
          <w:highlight w:val="none"/>
          <w:lang w:val="en-US" w:eastAsia="zh-CN"/>
        </w:rPr>
        <w:t>7-2</w:t>
      </w:r>
      <w:r>
        <w:rPr>
          <w:rFonts w:hint="default" w:ascii="Arial" w:hAnsi="Arial" w:eastAsia="黑体" w:cs="Arial"/>
          <w:color w:val="auto"/>
          <w:sz w:val="20"/>
          <w:szCs w:val="20"/>
          <w:highlight w:val="none"/>
          <w:lang w:val="en-US" w:eastAsia="zh-CN"/>
        </w:rPr>
        <w:t xml:space="preserve"> </w:t>
      </w:r>
      <w:r>
        <w:rPr>
          <w:rFonts w:hint="eastAsia" w:ascii="Arial" w:hAnsi="Arial" w:eastAsia="黑体" w:cs="Arial"/>
          <w:color w:val="auto"/>
          <w:sz w:val="20"/>
          <w:szCs w:val="20"/>
          <w:highlight w:val="none"/>
          <w:lang w:val="en-US" w:eastAsia="zh-CN"/>
        </w:rPr>
        <w:t>动力系统安装允许偏差及检验方法</w:t>
      </w:r>
    </w:p>
    <w:tbl>
      <w:tblPr>
        <w:tblStyle w:val="23"/>
        <w:tblW w:w="909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0"/>
        <w:gridCol w:w="2844"/>
        <w:gridCol w:w="2662"/>
        <w:gridCol w:w="2625"/>
      </w:tblGrid>
      <w:tr w14:paraId="331EE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0" w:type="dxa"/>
            <w:tcBorders>
              <w:top w:val="single" w:color="000000" w:sz="8" w:space="0"/>
              <w:left w:val="single" w:color="000000" w:sz="8" w:space="0"/>
              <w:bottom w:val="single" w:color="000000" w:sz="4" w:space="0"/>
              <w:right w:val="single" w:color="000000" w:sz="4" w:space="0"/>
            </w:tcBorders>
            <w:shd w:val="clear" w:color="auto" w:fill="FFFFFF"/>
            <w:noWrap w:val="0"/>
            <w:vAlign w:val="center"/>
          </w:tcPr>
          <w:p w14:paraId="55CBB0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序号</w:t>
            </w:r>
          </w:p>
        </w:tc>
        <w:tc>
          <w:tcPr>
            <w:tcW w:w="2844" w:type="dxa"/>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59AA14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项目</w:t>
            </w:r>
          </w:p>
        </w:tc>
        <w:tc>
          <w:tcPr>
            <w:tcW w:w="2662" w:type="dxa"/>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760F64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允许偏差</w:t>
            </w:r>
          </w:p>
        </w:tc>
        <w:tc>
          <w:tcPr>
            <w:tcW w:w="2625" w:type="dxa"/>
            <w:tcBorders>
              <w:top w:val="single" w:color="000000" w:sz="8" w:space="0"/>
              <w:left w:val="single" w:color="000000" w:sz="4" w:space="0"/>
              <w:bottom w:val="single" w:color="000000" w:sz="4" w:space="0"/>
              <w:right w:val="single" w:color="000000" w:sz="8" w:space="0"/>
            </w:tcBorders>
            <w:shd w:val="clear" w:color="auto" w:fill="FFFFFF"/>
            <w:noWrap w:val="0"/>
            <w:vAlign w:val="center"/>
          </w:tcPr>
          <w:p w14:paraId="5455A0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检验方法</w:t>
            </w:r>
          </w:p>
        </w:tc>
      </w:tr>
      <w:tr w14:paraId="42849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960" w:type="dxa"/>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16609FB">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28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1D4F1F">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顶升油缸活塞杆顶标高</w:t>
            </w:r>
          </w:p>
        </w:tc>
        <w:tc>
          <w:tcPr>
            <w:tcW w:w="26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62537">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±5.0mm</w:t>
            </w:r>
          </w:p>
        </w:tc>
        <w:tc>
          <w:tcPr>
            <w:tcW w:w="2625" w:type="dxa"/>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7C3E4AE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r w14:paraId="25262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960" w:type="dxa"/>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E528FC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p>
        </w:tc>
        <w:tc>
          <w:tcPr>
            <w:tcW w:w="28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929674">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顶升油缸轴线偏差</w:t>
            </w:r>
          </w:p>
        </w:tc>
        <w:tc>
          <w:tcPr>
            <w:tcW w:w="26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95BE6">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±3.0mm</w:t>
            </w:r>
          </w:p>
        </w:tc>
        <w:tc>
          <w:tcPr>
            <w:tcW w:w="2625" w:type="dxa"/>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4B656EE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r w14:paraId="01219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60" w:type="dxa"/>
            <w:tcBorders>
              <w:top w:val="single" w:color="000000" w:sz="4" w:space="0"/>
              <w:left w:val="single" w:color="000000" w:sz="8" w:space="0"/>
              <w:bottom w:val="single" w:color="000000" w:sz="8" w:space="0"/>
              <w:right w:val="single" w:color="000000" w:sz="4" w:space="0"/>
            </w:tcBorders>
            <w:shd w:val="clear" w:color="auto" w:fill="FFFFFF"/>
            <w:noWrap w:val="0"/>
            <w:vAlign w:val="center"/>
          </w:tcPr>
          <w:p w14:paraId="0CD6267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w:t>
            </w:r>
          </w:p>
        </w:tc>
        <w:tc>
          <w:tcPr>
            <w:tcW w:w="2844" w:type="dxa"/>
            <w:tcBorders>
              <w:top w:val="single" w:color="000000" w:sz="4" w:space="0"/>
              <w:left w:val="single" w:color="000000" w:sz="4" w:space="0"/>
              <w:bottom w:val="single" w:color="000000" w:sz="8" w:space="0"/>
              <w:right w:val="single" w:color="000000" w:sz="4" w:space="0"/>
            </w:tcBorders>
            <w:shd w:val="clear" w:color="auto" w:fill="FFFFFF"/>
            <w:noWrap w:val="0"/>
            <w:vAlign w:val="center"/>
          </w:tcPr>
          <w:p w14:paraId="28A35007">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顶升油缸垂直度</w:t>
            </w:r>
          </w:p>
        </w:tc>
        <w:tc>
          <w:tcPr>
            <w:tcW w:w="2662" w:type="dxa"/>
            <w:tcBorders>
              <w:top w:val="single" w:color="000000" w:sz="4" w:space="0"/>
              <w:left w:val="single" w:color="000000" w:sz="4" w:space="0"/>
              <w:bottom w:val="single" w:color="000000" w:sz="8" w:space="0"/>
              <w:right w:val="single" w:color="000000" w:sz="4" w:space="0"/>
            </w:tcBorders>
            <w:shd w:val="clear" w:color="auto" w:fill="FFFFFF"/>
            <w:noWrap w:val="0"/>
            <w:vAlign w:val="center"/>
          </w:tcPr>
          <w:p w14:paraId="51DE10B4">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L1/1500，且小于3.0</w:t>
            </w:r>
          </w:p>
        </w:tc>
        <w:tc>
          <w:tcPr>
            <w:tcW w:w="2625" w:type="dxa"/>
            <w:tcBorders>
              <w:top w:val="single" w:color="000000" w:sz="4" w:space="0"/>
              <w:left w:val="single" w:color="000000" w:sz="4" w:space="0"/>
              <w:bottom w:val="single" w:color="000000" w:sz="8" w:space="0"/>
              <w:right w:val="single" w:color="000000" w:sz="8" w:space="0"/>
            </w:tcBorders>
            <w:shd w:val="clear" w:color="auto" w:fill="FFFFFF"/>
            <w:noWrap w:val="0"/>
            <w:vAlign w:val="center"/>
          </w:tcPr>
          <w:p w14:paraId="4624DC9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用全站仪、吊线检查</w:t>
            </w:r>
          </w:p>
        </w:tc>
      </w:tr>
    </w:tbl>
    <w:p w14:paraId="1FDB1878">
      <w:pPr>
        <w:keepNext w:val="0"/>
        <w:keepLines w:val="0"/>
        <w:pageBreakBefore w:val="0"/>
        <w:widowControl w:val="0"/>
        <w:kinsoku/>
        <w:wordWrap/>
        <w:overflowPunct/>
        <w:topLinePunct w:val="0"/>
        <w:autoSpaceDE/>
        <w:autoSpaceDN/>
        <w:bidi w:val="0"/>
        <w:adjustRightInd/>
        <w:snapToGrid/>
        <w:spacing w:before="20" w:after="20" w:line="240" w:lineRule="auto"/>
        <w:jc w:val="both"/>
        <w:textAlignment w:val="auto"/>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注：表中L1为顶升油缸高度。</w:t>
      </w:r>
    </w:p>
    <w:p w14:paraId="49FFC5F3">
      <w:pPr>
        <w:ind w:firstLine="400" w:firstLineChars="200"/>
        <w:jc w:val="center"/>
        <w:rPr>
          <w:rFonts w:hint="eastAsia" w:ascii="Arial" w:hAnsi="Arial" w:eastAsia="黑体" w:cs="Arial"/>
          <w:color w:val="auto"/>
          <w:sz w:val="20"/>
          <w:szCs w:val="20"/>
          <w:highlight w:val="none"/>
          <w:lang w:val="en-US" w:eastAsia="zh-CN"/>
        </w:rPr>
      </w:pPr>
      <w:r>
        <w:rPr>
          <w:rFonts w:hint="default" w:ascii="Arial" w:hAnsi="Arial" w:eastAsia="黑体" w:cs="Arial"/>
          <w:color w:val="auto"/>
          <w:sz w:val="20"/>
          <w:szCs w:val="20"/>
          <w:highlight w:val="none"/>
          <w:lang w:val="en-US" w:eastAsia="zh-CN"/>
        </w:rPr>
        <w:t>表9.</w:t>
      </w:r>
      <w:r>
        <w:rPr>
          <w:rFonts w:hint="eastAsia" w:ascii="Arial" w:hAnsi="Arial" w:eastAsia="黑体" w:cs="Arial"/>
          <w:color w:val="auto"/>
          <w:sz w:val="20"/>
          <w:szCs w:val="20"/>
          <w:highlight w:val="none"/>
          <w:lang w:val="en-US" w:eastAsia="zh-CN"/>
        </w:rPr>
        <w:t>4</w:t>
      </w:r>
      <w:r>
        <w:rPr>
          <w:rFonts w:hint="default" w:ascii="Arial" w:hAnsi="Arial" w:eastAsia="黑体" w:cs="Arial"/>
          <w:color w:val="auto"/>
          <w:sz w:val="20"/>
          <w:szCs w:val="20"/>
          <w:highlight w:val="none"/>
          <w:lang w:val="en-US" w:eastAsia="zh-CN"/>
        </w:rPr>
        <w:t>.</w:t>
      </w:r>
      <w:r>
        <w:rPr>
          <w:rFonts w:hint="eastAsia" w:ascii="Arial" w:hAnsi="Arial" w:eastAsia="黑体" w:cs="Arial"/>
          <w:color w:val="auto"/>
          <w:sz w:val="20"/>
          <w:szCs w:val="20"/>
          <w:highlight w:val="none"/>
          <w:lang w:val="en-US" w:eastAsia="zh-CN"/>
        </w:rPr>
        <w:t>7-3</w:t>
      </w:r>
      <w:r>
        <w:rPr>
          <w:rFonts w:hint="default" w:ascii="Arial" w:hAnsi="Arial" w:eastAsia="黑体" w:cs="Arial"/>
          <w:color w:val="auto"/>
          <w:sz w:val="20"/>
          <w:szCs w:val="20"/>
          <w:highlight w:val="none"/>
          <w:lang w:val="en-US" w:eastAsia="zh-CN"/>
        </w:rPr>
        <w:t xml:space="preserve"> </w:t>
      </w:r>
      <w:r>
        <w:rPr>
          <w:rFonts w:hint="eastAsia" w:ascii="Arial" w:hAnsi="Arial" w:eastAsia="黑体" w:cs="Arial"/>
          <w:color w:val="auto"/>
          <w:sz w:val="20"/>
          <w:szCs w:val="20"/>
          <w:highlight w:val="none"/>
          <w:lang w:val="en-US" w:eastAsia="zh-CN"/>
        </w:rPr>
        <w:t>集成设备安装允许偏差及检验方法</w:t>
      </w:r>
    </w:p>
    <w:tbl>
      <w:tblPr>
        <w:tblStyle w:val="23"/>
        <w:tblW w:w="909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0"/>
        <w:gridCol w:w="1440"/>
        <w:gridCol w:w="2028"/>
        <w:gridCol w:w="1738"/>
        <w:gridCol w:w="2925"/>
      </w:tblGrid>
      <w:tr w14:paraId="1438D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60" w:type="dxa"/>
            <w:tcBorders>
              <w:top w:val="single" w:color="000000" w:sz="8" w:space="0"/>
              <w:left w:val="single" w:color="000000" w:sz="8" w:space="0"/>
              <w:bottom w:val="single" w:color="000000" w:sz="4" w:space="0"/>
              <w:right w:val="single" w:color="000000" w:sz="4" w:space="0"/>
            </w:tcBorders>
            <w:shd w:val="clear" w:color="auto" w:fill="FFFFFF"/>
            <w:noWrap w:val="0"/>
            <w:vAlign w:val="center"/>
          </w:tcPr>
          <w:p w14:paraId="280468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序号</w:t>
            </w:r>
          </w:p>
        </w:tc>
        <w:tc>
          <w:tcPr>
            <w:tcW w:w="3468" w:type="dxa"/>
            <w:gridSpan w:val="2"/>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1A6AFB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项目</w:t>
            </w:r>
          </w:p>
        </w:tc>
        <w:tc>
          <w:tcPr>
            <w:tcW w:w="1738" w:type="dxa"/>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4429C4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允许偏差（mm）</w:t>
            </w:r>
          </w:p>
        </w:tc>
        <w:tc>
          <w:tcPr>
            <w:tcW w:w="2925" w:type="dxa"/>
            <w:tcBorders>
              <w:top w:val="single" w:color="000000" w:sz="8" w:space="0"/>
              <w:left w:val="single" w:color="000000" w:sz="4" w:space="0"/>
              <w:bottom w:val="single" w:color="000000" w:sz="4" w:space="0"/>
              <w:right w:val="single" w:color="000000" w:sz="8" w:space="0"/>
            </w:tcBorders>
            <w:shd w:val="clear" w:color="auto" w:fill="FFFFFF"/>
            <w:noWrap w:val="0"/>
            <w:vAlign w:val="center"/>
          </w:tcPr>
          <w:p w14:paraId="48F7C8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检验方法</w:t>
            </w:r>
          </w:p>
        </w:tc>
      </w:tr>
      <w:tr w14:paraId="61CC8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60" w:type="dxa"/>
            <w:vMerge w:val="restar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49DEE7F">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5E59B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塔机自立式连接装置</w:t>
            </w: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B9C45">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平面位置</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47A53D">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c>
          <w:tcPr>
            <w:tcW w:w="2925" w:type="dxa"/>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5BE7F6B1">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r w14:paraId="7D34D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60"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6B6993D">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FEE1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791FA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水平度</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0AA76A">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1.0 </w:t>
            </w:r>
          </w:p>
        </w:tc>
        <w:tc>
          <w:tcPr>
            <w:tcW w:w="2925" w:type="dxa"/>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51351D5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r w14:paraId="711A0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60" w:type="dxa"/>
            <w:vMerge w:val="restar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217ADFF">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12DE6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塔机附着式连接装置</w:t>
            </w: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A961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支承梁轴线位置</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0930C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w:t>
            </w:r>
          </w:p>
        </w:tc>
        <w:tc>
          <w:tcPr>
            <w:tcW w:w="2925" w:type="dxa"/>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72F1D546">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r w14:paraId="4A2E4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60"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8EDD59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A148A">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BAF3F4">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支承梁水平度</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2717EC">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2.0 </w:t>
            </w:r>
          </w:p>
        </w:tc>
        <w:tc>
          <w:tcPr>
            <w:tcW w:w="2925" w:type="dxa"/>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3D800BB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r w14:paraId="4B7F4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60"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E781A8B">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D4F5DD">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5B8821">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抗侧机构轴线位置</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7B6FD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±5.0</w:t>
            </w:r>
          </w:p>
        </w:tc>
        <w:tc>
          <w:tcPr>
            <w:tcW w:w="2925" w:type="dxa"/>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200D289D">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r w14:paraId="5FDE2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60"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3EFEA5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B5F41">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8AC9D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抗侧机构水平度</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B1E3C">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5.0 </w:t>
            </w:r>
          </w:p>
        </w:tc>
        <w:tc>
          <w:tcPr>
            <w:tcW w:w="2925" w:type="dxa"/>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49B1E58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r w14:paraId="47641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60" w:type="dxa"/>
            <w:vMerge w:val="restar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9AEAAD7">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C9A4D">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框架式滑动附着</w:t>
            </w: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8201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轴线位置</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95529">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±5.0</w:t>
            </w:r>
          </w:p>
        </w:tc>
        <w:tc>
          <w:tcPr>
            <w:tcW w:w="2925" w:type="dxa"/>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7F6DB50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r w14:paraId="2221B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60" w:type="dxa"/>
            <w:vMerge w:val="continue"/>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07CDF80">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1ECBEB">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6DF29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垂直度</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A28DC">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5.0 </w:t>
            </w:r>
          </w:p>
        </w:tc>
        <w:tc>
          <w:tcPr>
            <w:tcW w:w="2925" w:type="dxa"/>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492BE859">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r w14:paraId="358F3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60" w:type="dxa"/>
            <w:vMerge w:val="restart"/>
            <w:tcBorders>
              <w:top w:val="single" w:color="000000" w:sz="4" w:space="0"/>
              <w:left w:val="single" w:color="000000" w:sz="8" w:space="0"/>
              <w:bottom w:val="single" w:color="000000" w:sz="8" w:space="0"/>
              <w:right w:val="single" w:color="000000" w:sz="4" w:space="0"/>
            </w:tcBorders>
            <w:shd w:val="clear" w:color="auto" w:fill="FFFFFF"/>
            <w:noWrap w:val="0"/>
            <w:vAlign w:val="center"/>
          </w:tcPr>
          <w:p w14:paraId="4ADD9173">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F041E">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布料机连接装置</w:t>
            </w: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58F0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轴线位置</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9C954F">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±10.0</w:t>
            </w:r>
          </w:p>
        </w:tc>
        <w:tc>
          <w:tcPr>
            <w:tcW w:w="2925" w:type="dxa"/>
            <w:tcBorders>
              <w:top w:val="single" w:color="000000" w:sz="4" w:space="0"/>
              <w:left w:val="single" w:color="000000" w:sz="4" w:space="0"/>
              <w:bottom w:val="single" w:color="000000" w:sz="4" w:space="0"/>
              <w:right w:val="single" w:color="000000" w:sz="8" w:space="0"/>
            </w:tcBorders>
            <w:shd w:val="clear" w:color="auto" w:fill="FFFFFF"/>
            <w:noWrap w:val="0"/>
            <w:vAlign w:val="center"/>
          </w:tcPr>
          <w:p w14:paraId="2439B428">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r w14:paraId="204AA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60" w:type="dxa"/>
            <w:vMerge w:val="continue"/>
            <w:tcBorders>
              <w:top w:val="single" w:color="000000" w:sz="4" w:space="0"/>
              <w:left w:val="single" w:color="000000" w:sz="8" w:space="0"/>
              <w:bottom w:val="single" w:color="000000" w:sz="8" w:space="0"/>
              <w:right w:val="single" w:color="000000" w:sz="4" w:space="0"/>
            </w:tcBorders>
            <w:shd w:val="clear" w:color="auto" w:fill="FFFFFF"/>
            <w:noWrap w:val="0"/>
            <w:vAlign w:val="center"/>
          </w:tcPr>
          <w:p w14:paraId="43B1E277">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0824F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2028" w:type="dxa"/>
            <w:tcBorders>
              <w:top w:val="single" w:color="000000" w:sz="4" w:space="0"/>
              <w:left w:val="single" w:color="000000" w:sz="4" w:space="0"/>
              <w:bottom w:val="single" w:color="000000" w:sz="8" w:space="0"/>
              <w:right w:val="single" w:color="000000" w:sz="4" w:space="0"/>
            </w:tcBorders>
            <w:shd w:val="clear" w:color="auto" w:fill="FFFFFF"/>
            <w:noWrap w:val="0"/>
            <w:vAlign w:val="center"/>
          </w:tcPr>
          <w:p w14:paraId="54C219FB">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垂直度</w:t>
            </w:r>
          </w:p>
        </w:tc>
        <w:tc>
          <w:tcPr>
            <w:tcW w:w="1738" w:type="dxa"/>
            <w:tcBorders>
              <w:top w:val="single" w:color="000000" w:sz="4" w:space="0"/>
              <w:left w:val="single" w:color="000000" w:sz="4" w:space="0"/>
              <w:bottom w:val="single" w:color="000000" w:sz="8" w:space="0"/>
              <w:right w:val="single" w:color="000000" w:sz="4" w:space="0"/>
            </w:tcBorders>
            <w:shd w:val="clear" w:color="auto" w:fill="FFFFFF"/>
            <w:noWrap w:val="0"/>
            <w:vAlign w:val="center"/>
          </w:tcPr>
          <w:p w14:paraId="76DE0671">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10.0 </w:t>
            </w:r>
          </w:p>
        </w:tc>
        <w:tc>
          <w:tcPr>
            <w:tcW w:w="2925" w:type="dxa"/>
            <w:tcBorders>
              <w:top w:val="single" w:color="000000" w:sz="4" w:space="0"/>
              <w:left w:val="single" w:color="000000" w:sz="4" w:space="0"/>
              <w:bottom w:val="single" w:color="000000" w:sz="8" w:space="0"/>
              <w:right w:val="single" w:color="000000" w:sz="8" w:space="0"/>
            </w:tcBorders>
            <w:shd w:val="clear" w:color="auto" w:fill="FFFFFF"/>
            <w:noWrap w:val="0"/>
            <w:vAlign w:val="center"/>
          </w:tcPr>
          <w:p w14:paraId="429E74F2">
            <w:pPr>
              <w:keepNext w:val="0"/>
              <w:keepLines w:val="0"/>
              <w:pageBreakBefore w:val="0"/>
              <w:widowControl w:val="0"/>
              <w:kinsoku/>
              <w:wordWrap/>
              <w:overflowPunct/>
              <w:topLinePunct w:val="0"/>
              <w:autoSpaceDE/>
              <w:autoSpaceDN/>
              <w:bidi w:val="0"/>
              <w:adjustRightInd/>
              <w:snapToGrid/>
              <w:spacing w:before="20" w:after="20"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用全站仪、钢尺检查</w:t>
            </w:r>
          </w:p>
        </w:tc>
      </w:tr>
    </w:tbl>
    <w:p w14:paraId="60F956CB">
      <w:pPr>
        <w:pStyle w:val="3"/>
        <w:bidi w:val="0"/>
        <w:rPr>
          <w:rFonts w:hint="eastAsia" w:cs="Times New Roman"/>
          <w:b/>
          <w:bCs/>
          <w:color w:val="auto"/>
          <w:kern w:val="0"/>
          <w:sz w:val="24"/>
          <w:szCs w:val="24"/>
          <w:highlight w:val="none"/>
          <w:lang w:val="en-US" w:eastAsia="zh-CN" w:bidi="ar"/>
        </w:rPr>
      </w:pPr>
      <w:bookmarkStart w:id="174" w:name="_Toc3912"/>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定期验收</w:t>
      </w:r>
      <w:bookmarkEnd w:id="174"/>
    </w:p>
    <w:p w14:paraId="43054FC3">
      <w:pPr>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5</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default" w:ascii="Times New Roman" w:hAnsi="Times New Roman" w:eastAsia="宋体" w:cs="Times New Roman"/>
          <w:b/>
          <w:bCs/>
          <w:color w:val="auto"/>
          <w:kern w:val="0"/>
          <w:sz w:val="24"/>
          <w:szCs w:val="24"/>
          <w:highlight w:val="none"/>
          <w:lang w:val="en-US" w:eastAsia="zh-CN" w:bidi="ar"/>
        </w:rPr>
        <w:t xml:space="preserve"> </w:t>
      </w:r>
      <w:r>
        <w:rPr>
          <w:rFonts w:hint="eastAsia" w:cs="Times New Roman"/>
          <w:b/>
          <w:bCs/>
          <w:color w:val="auto"/>
          <w:kern w:val="0"/>
          <w:sz w:val="24"/>
          <w:szCs w:val="24"/>
          <w:highlight w:val="none"/>
          <w:lang w:val="en-US" w:eastAsia="zh-CN" w:bidi="ar"/>
        </w:rPr>
        <w:t xml:space="preserve"> </w:t>
      </w:r>
      <w:r>
        <w:rPr>
          <w:rFonts w:hint="eastAsia" w:cs="Times New Roman"/>
          <w:color w:val="auto"/>
          <w:highlight w:val="none"/>
          <w:lang w:val="en-US" w:eastAsia="zh-CN"/>
        </w:rPr>
        <w:t>集成平台在使用期间应实行定期验收（检查），以确保其持续处于安全受控状态。</w:t>
      </w:r>
    </w:p>
    <w:p w14:paraId="259F5579">
      <w:pPr>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5</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2</w:t>
      </w:r>
      <w:r>
        <w:rPr>
          <w:rFonts w:hint="eastAsia" w:cs="Times New Roman"/>
          <w:color w:val="auto"/>
          <w:highlight w:val="none"/>
          <w:lang w:val="en-US" w:eastAsia="zh-CN"/>
        </w:rPr>
        <w:t xml:space="preserve">  年度验收应每年至少进行一次，由具备经验的专业人员按本指南相关条款全面检查，并出具年度验收报告。</w:t>
      </w:r>
    </w:p>
    <w:p w14:paraId="0EBA8DA8">
      <w:pPr>
        <w:rPr>
          <w:rFonts w:hint="eastAsia" w:cs="Times New Roman"/>
          <w:color w:val="auto"/>
          <w:highlight w:val="none"/>
          <w:lang w:val="en-US" w:eastAsia="zh-CN"/>
        </w:rPr>
      </w:pPr>
      <w:r>
        <w:rPr>
          <w:rFonts w:hint="eastAsia" w:cs="Times New Roman"/>
          <w:b/>
          <w:bCs/>
          <w:color w:val="auto"/>
          <w:kern w:val="0"/>
          <w:sz w:val="24"/>
          <w:szCs w:val="24"/>
          <w:highlight w:val="none"/>
          <w:lang w:val="en-US" w:eastAsia="zh-CN" w:bidi="ar"/>
        </w:rPr>
        <w:t>9</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5</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3</w:t>
      </w:r>
      <w:r>
        <w:rPr>
          <w:rFonts w:hint="eastAsia" w:cs="Times New Roman"/>
          <w:color w:val="auto"/>
          <w:highlight w:val="none"/>
          <w:lang w:val="en-US" w:eastAsia="zh-CN"/>
        </w:rPr>
        <w:t xml:space="preserve">  改造后复验：平台若经历结构改型、控制系统升级、主要受力构件更换、附墙间距调整等改造，改造完成后应重新进行验收，必要时委托第三方检测。</w:t>
      </w:r>
    </w:p>
    <w:p w14:paraId="02746347">
      <w:pPr>
        <w:rPr>
          <w:color w:val="auto"/>
          <w:highlight w:val="none"/>
        </w:rPr>
      </w:pPr>
      <w:r>
        <w:rPr>
          <w:rFonts w:hint="eastAsia" w:cs="Times New Roman"/>
          <w:b/>
          <w:bCs/>
          <w:color w:val="auto"/>
          <w:kern w:val="0"/>
          <w:sz w:val="24"/>
          <w:szCs w:val="24"/>
          <w:highlight w:val="none"/>
          <w:lang w:val="en-US" w:eastAsia="zh-CN" w:bidi="ar"/>
        </w:rPr>
        <w:t>9</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5</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highlight w:val="none"/>
          <w:lang w:val="en-US" w:eastAsia="zh-CN"/>
        </w:rPr>
        <w:t>4</w:t>
      </w:r>
      <w:r>
        <w:rPr>
          <w:rFonts w:hint="eastAsia" w:cs="Times New Roman"/>
          <w:color w:val="auto"/>
          <w:highlight w:val="none"/>
          <w:lang w:val="en-US" w:eastAsia="zh-CN"/>
        </w:rPr>
        <w:t xml:space="preserve">  长期停用后复验：平台停用超过6个月（或当地主管部门规定的其他期限）后拟重新启用时，应进行全面检查与验收，重点核查锈蚀、机构卡滞、电气老化、安全装置失效等问题。</w:t>
      </w:r>
    </w:p>
    <w:p w14:paraId="5B3F5A53">
      <w:pPr>
        <w:pStyle w:val="3"/>
        <w:bidi w:val="0"/>
        <w:rPr>
          <w:rFonts w:hint="eastAsia" w:cs="Times New Roman"/>
          <w:b/>
          <w:bCs/>
          <w:color w:val="auto"/>
          <w:kern w:val="0"/>
          <w:sz w:val="24"/>
          <w:szCs w:val="24"/>
          <w:highlight w:val="none"/>
          <w:lang w:val="en-US" w:eastAsia="zh-CN" w:bidi="ar"/>
        </w:rPr>
      </w:pPr>
      <w:bookmarkStart w:id="175" w:name="_Toc25852"/>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验收判定标准</w:t>
      </w:r>
      <w:bookmarkEnd w:id="175"/>
    </w:p>
    <w:p w14:paraId="01BB854B">
      <w:pPr>
        <w:rPr>
          <w:rFonts w:hint="eastAsia"/>
          <w:b w:val="0"/>
          <w:bCs w:val="0"/>
          <w:color w:val="auto"/>
          <w:highlight w:val="none"/>
          <w:lang w:eastAsia="zh-CN"/>
        </w:rPr>
      </w:pPr>
      <w:r>
        <w:rPr>
          <w:rFonts w:hint="eastAsia" w:cs="Times New Roman"/>
          <w:b/>
          <w:bCs/>
          <w:color w:val="auto"/>
          <w:kern w:val="0"/>
          <w:sz w:val="24"/>
          <w:szCs w:val="24"/>
          <w:highlight w:val="none"/>
          <w:lang w:val="en-US" w:eastAsia="zh-CN" w:bidi="ar"/>
        </w:rPr>
        <w:t>9</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6</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default" w:ascii="Times New Roman" w:hAnsi="Times New Roman" w:eastAsia="宋体" w:cs="Times New Roman"/>
          <w:b/>
          <w:bCs/>
          <w:color w:val="auto"/>
          <w:kern w:val="0"/>
          <w:sz w:val="24"/>
          <w:szCs w:val="24"/>
          <w:highlight w:val="none"/>
          <w:lang w:val="en-US" w:eastAsia="zh-CN" w:bidi="ar"/>
        </w:rPr>
        <w:t xml:space="preserve"> </w:t>
      </w:r>
      <w:r>
        <w:rPr>
          <w:rFonts w:hint="eastAsia" w:cs="Times New Roman"/>
          <w:b/>
          <w:bCs/>
          <w:color w:val="auto"/>
          <w:kern w:val="0"/>
          <w:sz w:val="24"/>
          <w:szCs w:val="24"/>
          <w:highlight w:val="none"/>
          <w:lang w:val="en-US" w:eastAsia="zh-CN" w:bidi="ar"/>
        </w:rPr>
        <w:t xml:space="preserve"> </w:t>
      </w:r>
      <w:r>
        <w:rPr>
          <w:rFonts w:hint="eastAsia"/>
          <w:b w:val="0"/>
          <w:bCs w:val="0"/>
          <w:color w:val="auto"/>
          <w:highlight w:val="none"/>
          <w:lang w:eastAsia="zh-CN"/>
        </w:rPr>
        <w:t>验收判定应分为主控项目和一般项目。</w:t>
      </w:r>
    </w:p>
    <w:p w14:paraId="59683DDC">
      <w:pPr>
        <w:rPr>
          <w:rFonts w:hint="eastAsia"/>
          <w:b w:val="0"/>
          <w:bCs w:val="0"/>
          <w:color w:val="auto"/>
          <w:highlight w:val="none"/>
          <w:lang w:eastAsia="zh-CN"/>
        </w:rPr>
      </w:pPr>
      <w:r>
        <w:rPr>
          <w:rFonts w:hint="eastAsia" w:cs="Times New Roman"/>
          <w:b/>
          <w:bCs/>
          <w:color w:val="auto"/>
          <w:kern w:val="0"/>
          <w:sz w:val="24"/>
          <w:szCs w:val="24"/>
          <w:highlight w:val="none"/>
          <w:lang w:val="en-US" w:eastAsia="zh-CN" w:bidi="ar"/>
        </w:rPr>
        <w:t>9</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6</w:t>
      </w:r>
      <w:r>
        <w:rPr>
          <w:rFonts w:hint="default" w:ascii="Times New Roman" w:hAnsi="Times New Roman" w:eastAsia="宋体" w:cs="Times New Roman"/>
          <w:b/>
          <w:bCs/>
          <w:color w:val="auto"/>
          <w:kern w:val="0"/>
          <w:sz w:val="24"/>
          <w:szCs w:val="24"/>
          <w:highlight w:val="none"/>
          <w:lang w:val="en-US" w:eastAsia="zh-CN" w:bidi="ar"/>
        </w:rPr>
        <w:t>.</w:t>
      </w:r>
      <w:r>
        <w:rPr>
          <w:rFonts w:hint="eastAsia"/>
          <w:b/>
          <w:bCs/>
          <w:color w:val="auto"/>
          <w:highlight w:val="none"/>
          <w:lang w:eastAsia="zh-CN"/>
        </w:rPr>
        <w:t>2</w:t>
      </w:r>
      <w:r>
        <w:rPr>
          <w:rFonts w:hint="eastAsia"/>
          <w:b w:val="0"/>
          <w:bCs w:val="0"/>
          <w:color w:val="auto"/>
          <w:highlight w:val="none"/>
          <w:lang w:eastAsia="zh-CN"/>
        </w:rPr>
        <w:t xml:space="preserve"> </w:t>
      </w:r>
      <w:r>
        <w:rPr>
          <w:rFonts w:hint="eastAsia"/>
          <w:b w:val="0"/>
          <w:bCs w:val="0"/>
          <w:color w:val="auto"/>
          <w:highlight w:val="none"/>
          <w:lang w:val="en-US" w:eastAsia="zh-CN"/>
        </w:rPr>
        <w:t xml:space="preserve"> </w:t>
      </w:r>
      <w:r>
        <w:rPr>
          <w:rFonts w:hint="eastAsia"/>
          <w:b w:val="0"/>
          <w:bCs w:val="0"/>
          <w:color w:val="auto"/>
          <w:highlight w:val="none"/>
          <w:lang w:eastAsia="zh-CN"/>
        </w:rPr>
        <w:t>主控项目必须全部合格，包括但不限于：结构主要受力构件完整性、连接节点可靠性、防坠/防倾覆安全装置有效性、同步控制系统及超载保护功能、附墙支承稳定性等涉及安全的项目。</w:t>
      </w:r>
    </w:p>
    <w:p w14:paraId="116D728C">
      <w:pPr>
        <w:rPr>
          <w:rFonts w:hint="eastAsia"/>
          <w:b w:val="0"/>
          <w:bCs w:val="0"/>
          <w:color w:val="auto"/>
          <w:highlight w:val="none"/>
          <w:lang w:eastAsia="zh-CN"/>
        </w:rPr>
      </w:pPr>
      <w:r>
        <w:rPr>
          <w:rFonts w:hint="eastAsia" w:cs="Times New Roman"/>
          <w:b/>
          <w:bCs/>
          <w:color w:val="auto"/>
          <w:kern w:val="0"/>
          <w:sz w:val="24"/>
          <w:szCs w:val="24"/>
          <w:highlight w:val="none"/>
          <w:lang w:val="en-US" w:eastAsia="zh-CN" w:bidi="ar"/>
        </w:rPr>
        <w:t>9</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6</w:t>
      </w:r>
      <w:r>
        <w:rPr>
          <w:rFonts w:hint="default" w:ascii="Times New Roman" w:hAnsi="Times New Roman" w:eastAsia="宋体" w:cs="Times New Roman"/>
          <w:b/>
          <w:bCs/>
          <w:color w:val="auto"/>
          <w:kern w:val="0"/>
          <w:sz w:val="24"/>
          <w:szCs w:val="24"/>
          <w:highlight w:val="none"/>
          <w:lang w:val="en-US" w:eastAsia="zh-CN" w:bidi="ar"/>
        </w:rPr>
        <w:t>.</w:t>
      </w:r>
      <w:r>
        <w:rPr>
          <w:rFonts w:hint="eastAsia"/>
          <w:b/>
          <w:bCs/>
          <w:color w:val="auto"/>
          <w:highlight w:val="none"/>
          <w:lang w:eastAsia="zh-CN"/>
        </w:rPr>
        <w:t>3</w:t>
      </w:r>
      <w:r>
        <w:rPr>
          <w:rFonts w:hint="eastAsia"/>
          <w:b w:val="0"/>
          <w:bCs w:val="0"/>
          <w:color w:val="auto"/>
          <w:highlight w:val="none"/>
          <w:lang w:eastAsia="zh-CN"/>
        </w:rPr>
        <w:t xml:space="preserve"> </w:t>
      </w:r>
      <w:r>
        <w:rPr>
          <w:rFonts w:hint="eastAsia"/>
          <w:b w:val="0"/>
          <w:bCs w:val="0"/>
          <w:color w:val="auto"/>
          <w:highlight w:val="none"/>
          <w:lang w:val="en-US" w:eastAsia="zh-CN"/>
        </w:rPr>
        <w:t xml:space="preserve"> </w:t>
      </w:r>
      <w:r>
        <w:rPr>
          <w:rFonts w:hint="eastAsia"/>
          <w:b w:val="0"/>
          <w:bCs w:val="0"/>
          <w:color w:val="auto"/>
          <w:highlight w:val="none"/>
          <w:lang w:eastAsia="zh-CN"/>
        </w:rPr>
        <w:t>一般项目合格点率应达到规定要求，且不得存在影响结构安全或使用功能的缺陷。</w:t>
      </w:r>
    </w:p>
    <w:p w14:paraId="6DA011C1">
      <w:pPr>
        <w:rPr>
          <w:color w:val="auto"/>
          <w:highlight w:val="none"/>
        </w:rPr>
      </w:pPr>
      <w:r>
        <w:rPr>
          <w:rFonts w:hint="eastAsia" w:cs="Times New Roman"/>
          <w:b/>
          <w:bCs/>
          <w:color w:val="auto"/>
          <w:kern w:val="0"/>
          <w:sz w:val="24"/>
          <w:szCs w:val="24"/>
          <w:highlight w:val="none"/>
          <w:lang w:val="en-US" w:eastAsia="zh-CN" w:bidi="ar"/>
        </w:rPr>
        <w:t>9</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6</w:t>
      </w:r>
      <w:r>
        <w:rPr>
          <w:rFonts w:hint="default" w:ascii="Times New Roman" w:hAnsi="Times New Roman" w:eastAsia="宋体" w:cs="Times New Roman"/>
          <w:b/>
          <w:bCs/>
          <w:color w:val="auto"/>
          <w:kern w:val="0"/>
          <w:sz w:val="24"/>
          <w:szCs w:val="24"/>
          <w:highlight w:val="none"/>
          <w:lang w:val="en-US" w:eastAsia="zh-CN" w:bidi="ar"/>
        </w:rPr>
        <w:t>.</w:t>
      </w:r>
      <w:r>
        <w:rPr>
          <w:rFonts w:hint="eastAsia"/>
          <w:b/>
          <w:bCs/>
          <w:color w:val="auto"/>
          <w:highlight w:val="none"/>
          <w:lang w:eastAsia="zh-CN"/>
        </w:rPr>
        <w:t>4</w:t>
      </w:r>
      <w:r>
        <w:rPr>
          <w:rFonts w:hint="eastAsia"/>
          <w:b w:val="0"/>
          <w:bCs w:val="0"/>
          <w:color w:val="auto"/>
          <w:highlight w:val="none"/>
          <w:lang w:eastAsia="zh-CN"/>
        </w:rPr>
        <w:t xml:space="preserve"> </w:t>
      </w:r>
      <w:r>
        <w:rPr>
          <w:rFonts w:hint="eastAsia"/>
          <w:b w:val="0"/>
          <w:bCs w:val="0"/>
          <w:color w:val="auto"/>
          <w:highlight w:val="none"/>
          <w:lang w:val="en-US" w:eastAsia="zh-CN"/>
        </w:rPr>
        <w:t xml:space="preserve"> </w:t>
      </w:r>
      <w:r>
        <w:rPr>
          <w:rFonts w:hint="eastAsia"/>
          <w:b w:val="0"/>
          <w:bCs w:val="0"/>
          <w:color w:val="auto"/>
          <w:highlight w:val="none"/>
          <w:lang w:eastAsia="zh-CN"/>
        </w:rPr>
        <w:t>验收不合格时，应下达整改通知，明确整改内容、期限与责任人；整改完成后须进行复验，复验合格后方可判定为验收通过。未通过验收的集成平台，严禁投入使用或进入下一顶升/爬升循环。</w:t>
      </w:r>
    </w:p>
    <w:p w14:paraId="7B06D3C8">
      <w:pPr>
        <w:pStyle w:val="3"/>
        <w:bidi w:val="0"/>
        <w:rPr>
          <w:rFonts w:hint="eastAsia" w:cs="Times New Roman"/>
          <w:b/>
          <w:bCs/>
          <w:color w:val="auto"/>
          <w:kern w:val="0"/>
          <w:sz w:val="24"/>
          <w:szCs w:val="24"/>
          <w:highlight w:val="none"/>
          <w:lang w:val="en-US" w:eastAsia="zh-CN" w:bidi="ar"/>
        </w:rPr>
      </w:pPr>
      <w:bookmarkStart w:id="176" w:name="_Toc21884"/>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7</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验收文件清单</w:t>
      </w:r>
      <w:bookmarkEnd w:id="176"/>
    </w:p>
    <w:p w14:paraId="5F824863">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cs="Times New Roman"/>
          <w:b/>
          <w:bCs/>
          <w:color w:val="auto"/>
          <w:kern w:val="0"/>
          <w:sz w:val="24"/>
          <w:szCs w:val="24"/>
          <w:highlight w:val="none"/>
          <w:lang w:val="en-US" w:eastAsia="zh-CN" w:bidi="ar"/>
        </w:rPr>
        <w:t>9</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1</w:t>
      </w:r>
      <w:r>
        <w:rPr>
          <w:rFonts w:hint="default" w:ascii="Times New Roman" w:hAnsi="Times New Roman" w:eastAsia="宋体" w:cs="Times New Roman"/>
          <w:b/>
          <w:bCs/>
          <w:color w:val="auto"/>
          <w:kern w:val="0"/>
          <w:sz w:val="24"/>
          <w:szCs w:val="24"/>
          <w:highlight w:val="none"/>
          <w:lang w:val="en-US" w:eastAsia="zh-CN" w:bidi="ar"/>
        </w:rPr>
        <w:t xml:space="preserve"> </w:t>
      </w:r>
      <w:r>
        <w:rPr>
          <w:rFonts w:hint="eastAsia" w:cs="Times New Roman"/>
          <w:b/>
          <w:bCs/>
          <w:color w:val="auto"/>
          <w:kern w:val="0"/>
          <w:sz w:val="24"/>
          <w:szCs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验收过程应形成完整的技术档案，文件清单至少包括：</w:t>
      </w:r>
    </w:p>
    <w:p w14:paraId="2BAA9F9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检测报告：出厂检验记录、第三方检测报告、现场安装检测记录；</w:t>
      </w:r>
    </w:p>
    <w:p w14:paraId="5493B0B6">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过程与竣工资料：安装（拆卸）施工记录、隐蔽工程验收记录、中间交接</w:t>
      </w:r>
      <w:r>
        <w:rPr>
          <w:rFonts w:hint="eastAsia" w:cs="Times New Roman"/>
          <w:color w:val="auto"/>
          <w:kern w:val="0"/>
          <w:sz w:val="24"/>
          <w:highlight w:val="none"/>
          <w:lang w:val="en-US" w:eastAsia="zh-CN" w:bidi="ar"/>
        </w:rPr>
        <w:t>检查</w:t>
      </w:r>
      <w:r>
        <w:rPr>
          <w:rFonts w:hint="default" w:ascii="Times New Roman" w:hAnsi="Times New Roman" w:eastAsia="宋体" w:cs="Times New Roman"/>
          <w:color w:val="auto"/>
          <w:kern w:val="0"/>
          <w:sz w:val="24"/>
          <w:highlight w:val="none"/>
          <w:lang w:val="en-US" w:eastAsia="zh-CN" w:bidi="ar"/>
        </w:rPr>
        <w:t>记录、竣工图；</w:t>
      </w:r>
    </w:p>
    <w:p w14:paraId="7ECB98F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技术与操作文件：集成平台操作手册、系统维护手册、专项施工方案及专家论证报告（如需）；</w:t>
      </w:r>
    </w:p>
    <w:p w14:paraId="0C89A50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质量证明与质保文件：产品合格证、主要构配件材质证明、质保书、保修承诺文件；</w:t>
      </w:r>
    </w:p>
    <w:p w14:paraId="244E9E2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验收结论文件：各阶段验收记录表、联合验收意见书、问题整改闭环记录。</w:t>
      </w:r>
    </w:p>
    <w:p w14:paraId="0E017BAF">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imes New Roman" w:hAnsi="Times New Roman"/>
          <w:color w:val="000000" w:themeColor="text1"/>
          <w:lang w:val="en-US" w:eastAsia="zh-CN"/>
          <w14:textFill>
            <w14:solidFill>
              <w14:schemeClr w14:val="tx1"/>
            </w14:solidFill>
          </w14:textFill>
        </w:rPr>
      </w:pPr>
      <w:r>
        <w:rPr>
          <w:rFonts w:hint="eastAsia" w:cs="Times New Roman"/>
          <w:b/>
          <w:bCs/>
          <w:color w:val="auto"/>
          <w:kern w:val="0"/>
          <w:sz w:val="24"/>
          <w:szCs w:val="24"/>
          <w:highlight w:val="none"/>
          <w:lang w:val="en-US" w:eastAsia="zh-CN" w:bidi="ar"/>
        </w:rPr>
        <w:t>9</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w:t>
      </w:r>
      <w:r>
        <w:rPr>
          <w:rFonts w:hint="default" w:ascii="Times New Roman" w:hAnsi="Times New Roman" w:eastAsia="宋体" w:cs="Times New Roman"/>
          <w:b/>
          <w:bCs/>
          <w:color w:val="auto"/>
          <w:kern w:val="0"/>
          <w:sz w:val="24"/>
          <w:highlight w:val="none"/>
          <w:lang w:val="en-US" w:eastAsia="zh-CN" w:bidi="ar"/>
        </w:rPr>
        <w:t>2</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上述文件应真实、准确、完整，并按规定归档保存，保存期不应不少于5年或工程设计使用年限。</w:t>
      </w:r>
      <w:r>
        <w:rPr>
          <w:rFonts w:hint="eastAsia" w:ascii="Times New Roman" w:hAnsi="Times New Roman"/>
          <w:color w:val="000000" w:themeColor="text1"/>
          <w:lang w:val="en-US" w:eastAsia="zh-CN"/>
          <w14:textFill>
            <w14:solidFill>
              <w14:schemeClr w14:val="tx1"/>
            </w14:solidFill>
          </w14:textFill>
        </w:rPr>
        <w:br w:type="page"/>
      </w:r>
    </w:p>
    <w:p w14:paraId="38D5258C">
      <w:pPr>
        <w:pStyle w:val="2"/>
        <w:bidi w:val="0"/>
        <w:rPr>
          <w:rFonts w:hint="default"/>
          <w:color w:val="000000" w:themeColor="text1"/>
          <w14:textFill>
            <w14:solidFill>
              <w14:schemeClr w14:val="tx1"/>
            </w14:solidFill>
          </w14:textFill>
        </w:rPr>
      </w:pPr>
      <w:bookmarkStart w:id="177" w:name="_Toc8659"/>
      <w:r>
        <w:rPr>
          <w:rFonts w:hint="eastAsia"/>
          <w:color w:val="000000" w:themeColor="text1"/>
          <w:lang w:val="en-US" w:eastAsia="zh-CN"/>
          <w14:textFill>
            <w14:solidFill>
              <w14:schemeClr w14:val="tx1"/>
            </w14:solidFill>
          </w14:textFill>
        </w:rPr>
        <w:t>第10章</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平台运行与维护</w:t>
      </w:r>
      <w:bookmarkEnd w:id="177"/>
    </w:p>
    <w:p w14:paraId="55D3892A">
      <w:pPr>
        <w:pStyle w:val="3"/>
        <w:bidi w:val="0"/>
        <w:rPr>
          <w:rFonts w:hint="eastAsia"/>
          <w:b/>
          <w:bCs/>
          <w:color w:val="000000" w:themeColor="text1"/>
          <w:kern w:val="0"/>
          <w:lang w:bidi="ar"/>
          <w14:textFill>
            <w14:solidFill>
              <w14:schemeClr w14:val="tx1"/>
            </w14:solidFill>
          </w14:textFill>
        </w:rPr>
      </w:pPr>
      <w:bookmarkStart w:id="178" w:name="_Toc19251"/>
      <w:r>
        <w:rPr>
          <w:rFonts w:hint="eastAsia"/>
          <w:color w:val="000000" w:themeColor="text1"/>
          <w:lang w:val="en-US" w:eastAsia="zh-CN"/>
          <w14:textFill>
            <w14:solidFill>
              <w14:schemeClr w14:val="tx1"/>
            </w14:solidFill>
          </w14:textFill>
        </w:rPr>
        <w:t>10</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日常运行操作规程</w:t>
      </w:r>
      <w:bookmarkEnd w:id="178"/>
    </w:p>
    <w:p w14:paraId="4B0E812A">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 xml:space="preserve">.1  </w:t>
      </w:r>
      <w:r>
        <w:rPr>
          <w:rFonts w:hint="eastAsia"/>
          <w:color w:val="000000" w:themeColor="text1"/>
          <w14:textFill>
            <w14:solidFill>
              <w14:schemeClr w14:val="tx1"/>
            </w14:solidFill>
          </w14:textFill>
        </w:rPr>
        <w:t>顶升前检查</w:t>
      </w:r>
    </w:p>
    <w:p w14:paraId="771B3DB1">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混凝土浇筑完成，且</w:t>
      </w:r>
      <w:r>
        <w:rPr>
          <w:rFonts w:hint="eastAsia"/>
          <w:color w:val="000000" w:themeColor="text1"/>
          <w:highlight w:val="none"/>
          <w14:textFill>
            <w14:solidFill>
              <w14:schemeClr w14:val="tx1"/>
            </w14:solidFill>
          </w14:textFill>
        </w:rPr>
        <w:t xml:space="preserve">受力的附墙支座位置混凝土强度达到20MPa </w:t>
      </w:r>
      <w:r>
        <w:rPr>
          <w:rFonts w:hint="eastAsia"/>
          <w:color w:val="000000" w:themeColor="text1"/>
          <w14:textFill>
            <w14:solidFill>
              <w14:schemeClr w14:val="tx1"/>
            </w14:solidFill>
          </w14:textFill>
        </w:rPr>
        <w:t>以上，方可进行集成平台顶升作业。</w:t>
      </w:r>
    </w:p>
    <w:p w14:paraId="382EC1E0">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顶升前应检查目标位置附墙支座的轴线、标高和垂直度，并按设计要求检查锚固件安装情况。</w:t>
      </w:r>
    </w:p>
    <w:p w14:paraId="3AEC3F0D">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顶升前，挂架所有翻板需全部翻起并固定。</w:t>
      </w:r>
    </w:p>
    <w:p w14:paraId="383FDC24">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4</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顶升前，钢平台顶部及挂架内部不应堆载。</w:t>
      </w:r>
    </w:p>
    <w:p w14:paraId="7611FD5C">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5</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顶升前，钢平台若悬挂大模板则需与墙体完全脱开，模板吊杆倾斜度应满足设计要求。</w:t>
      </w:r>
    </w:p>
    <w:p w14:paraId="48A03686">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6</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集成平台各系统安全防护设施完善且安全可靠。配电箱配线长度满足集成平台提升要求，线缆与集成平台存在摩擦部位保护措施完善。</w:t>
      </w:r>
    </w:p>
    <w:p w14:paraId="0F87994A">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7</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集成平台监测预警系统是否完善，功能正常。</w:t>
      </w:r>
    </w:p>
    <w:p w14:paraId="67CEF371">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8</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附墙支座紧固件安装情况应符合设计要求。</w:t>
      </w:r>
    </w:p>
    <w:p w14:paraId="2B4608FC">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9</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焊缝无裂纹、</w:t>
      </w:r>
      <w:r>
        <w:rPr>
          <w:rFonts w:hint="eastAsia"/>
          <w:color w:val="000000" w:themeColor="text1"/>
          <w:lang w:eastAsia="zh-CN"/>
          <w14:textFill>
            <w14:solidFill>
              <w14:schemeClr w14:val="tx1"/>
            </w14:solidFill>
          </w14:textFill>
        </w:rPr>
        <w:t>无其他</w:t>
      </w:r>
      <w:r>
        <w:rPr>
          <w:rFonts w:hint="eastAsia"/>
          <w:color w:val="000000" w:themeColor="text1"/>
          <w14:textFill>
            <w14:solidFill>
              <w14:schemeClr w14:val="tx1"/>
            </w14:solidFill>
          </w14:textFill>
        </w:rPr>
        <w:t>焊接缺陷及严重锈蚀。</w:t>
      </w:r>
    </w:p>
    <w:p w14:paraId="6A65A7C8">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10</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防坠、防倾覆功能应完好。</w:t>
      </w:r>
    </w:p>
    <w:p w14:paraId="7F4895E4">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1  </w:t>
      </w:r>
      <w:r>
        <w:rPr>
          <w:rFonts w:hint="eastAsia"/>
          <w:color w:val="000000" w:themeColor="text1"/>
          <w14:textFill>
            <w14:solidFill>
              <w14:schemeClr w14:val="tx1"/>
            </w14:solidFill>
          </w14:textFill>
        </w:rPr>
        <w:t>附墙支座、导轨立柱内建渣清理干净。</w:t>
      </w:r>
    </w:p>
    <w:p w14:paraId="7ECC0AB7">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2  </w:t>
      </w:r>
      <w:r>
        <w:rPr>
          <w:rFonts w:hint="eastAsia"/>
          <w:color w:val="000000" w:themeColor="text1"/>
          <w14:textFill>
            <w14:solidFill>
              <w14:schemeClr w14:val="tx1"/>
            </w14:solidFill>
          </w14:textFill>
        </w:rPr>
        <w:t>防护挂架与主体结构间距为200mm～400mm。</w:t>
      </w:r>
    </w:p>
    <w:p w14:paraId="56A3E3F7">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3  </w:t>
      </w:r>
      <w:r>
        <w:rPr>
          <w:rFonts w:hint="eastAsia"/>
          <w:color w:val="000000" w:themeColor="text1"/>
          <w14:textFill>
            <w14:solidFill>
              <w14:schemeClr w14:val="tx1"/>
            </w14:solidFill>
          </w14:textFill>
        </w:rPr>
        <w:t>构件无明显变形、锈蚀、裂纹等。</w:t>
      </w:r>
    </w:p>
    <w:p w14:paraId="4C40AFE6">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4  </w:t>
      </w:r>
      <w:r>
        <w:rPr>
          <w:rFonts w:hint="eastAsia"/>
          <w:color w:val="000000" w:themeColor="text1"/>
          <w14:textFill>
            <w14:solidFill>
              <w14:schemeClr w14:val="tx1"/>
            </w14:solidFill>
          </w14:textFill>
        </w:rPr>
        <w:t>外防护挂架与外附式施工电梯、塔吊附着撑杆臂交接位置</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若有</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防护措施完整可靠。</w:t>
      </w:r>
    </w:p>
    <w:p w14:paraId="5E009B2B">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5  </w:t>
      </w:r>
      <w:r>
        <w:rPr>
          <w:rFonts w:hint="eastAsia"/>
          <w:color w:val="000000" w:themeColor="text1"/>
          <w14:textFill>
            <w14:solidFill>
              <w14:schemeClr w14:val="tx1"/>
            </w14:solidFill>
          </w14:textFill>
        </w:rPr>
        <w:t>外防护挂架内无材料堆载，外防护挂架内建渣已清理干净。</w:t>
      </w:r>
    </w:p>
    <w:p w14:paraId="7CD94420">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6  </w:t>
      </w:r>
      <w:r>
        <w:rPr>
          <w:rFonts w:hint="eastAsia"/>
          <w:color w:val="000000" w:themeColor="text1"/>
          <w14:textFill>
            <w14:solidFill>
              <w14:schemeClr w14:val="tx1"/>
            </w14:solidFill>
          </w14:textFill>
        </w:rPr>
        <w:t>主体结构无妨碍挂架向上提升的障碍物，翻板全数翻起且可靠固定。</w:t>
      </w:r>
    </w:p>
    <w:p w14:paraId="4D66CF72">
      <w:pPr>
        <w:ind w:firstLine="482" w:firstLineChars="200"/>
        <w:rPr>
          <w:rFonts w:hint="eastAsia" w:eastAsia="宋体"/>
          <w:color w:val="000000" w:themeColor="text1"/>
          <w:lang w:eastAsia="zh-CN"/>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7  </w:t>
      </w:r>
      <w:r>
        <w:rPr>
          <w:rFonts w:hint="eastAsia"/>
          <w:color w:val="000000" w:themeColor="text1"/>
          <w14:textFill>
            <w14:solidFill>
              <w14:schemeClr w14:val="tx1"/>
            </w14:solidFill>
          </w14:textFill>
        </w:rPr>
        <w:t>顶升前应检查目标位置附墙支座的轴线位置、标高和垂直度，并按设计要求复核紧固件安装情况</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防止顶升过程中立柱倾斜或附墙支座中间钩爪无法与导轨立柱爪靴可靠连接等情况</w:t>
      </w:r>
      <w:r>
        <w:rPr>
          <w:rFonts w:hint="eastAsia"/>
          <w:color w:val="000000" w:themeColor="text1"/>
          <w:lang w:eastAsia="zh-CN"/>
          <w14:textFill>
            <w14:solidFill>
              <w14:schemeClr w14:val="tx1"/>
            </w14:solidFill>
          </w14:textFill>
        </w:rPr>
        <w:t>。</w:t>
      </w:r>
    </w:p>
    <w:p w14:paraId="08D78CB6">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8  </w:t>
      </w:r>
      <w:r>
        <w:rPr>
          <w:rFonts w:hint="eastAsia"/>
          <w:color w:val="000000" w:themeColor="text1"/>
          <w14:textFill>
            <w14:solidFill>
              <w14:schemeClr w14:val="tx1"/>
            </w14:solidFill>
          </w14:textFill>
        </w:rPr>
        <w:t>集成平台顶升前应清理挂架内部及钢平台顶部材料，防止提升过程中架体抖动造成材料与主体结构</w:t>
      </w:r>
      <w:r>
        <w:rPr>
          <w:rFonts w:hint="eastAsia"/>
          <w:color w:val="000000" w:themeColor="text1"/>
          <w:lang w:eastAsia="zh-CN"/>
          <w14:textFill>
            <w14:solidFill>
              <w14:schemeClr w14:val="tx1"/>
            </w14:solidFill>
          </w14:textFill>
        </w:rPr>
        <w:t>刮</w:t>
      </w:r>
      <w:r>
        <w:rPr>
          <w:rFonts w:hint="eastAsia"/>
          <w:color w:val="000000" w:themeColor="text1"/>
          <w14:textFill>
            <w14:solidFill>
              <w14:schemeClr w14:val="tx1"/>
            </w14:solidFill>
          </w14:textFill>
        </w:rPr>
        <w:t>蹭，影响架体提升或材料掉落伤人。</w:t>
      </w:r>
    </w:p>
    <w:p w14:paraId="22589582">
      <w:pPr>
        <w:ind w:firstLine="482" w:firstLineChars="200"/>
        <w:rPr>
          <w:rFonts w:hint="eastAsia"/>
          <w:color w:val="000000" w:themeColor="text1"/>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 xml:space="preserve">19  </w:t>
      </w:r>
      <w:r>
        <w:rPr>
          <w:rFonts w:hint="eastAsia"/>
          <w:color w:val="000000" w:themeColor="text1"/>
          <w:highlight w:val="none"/>
          <w:lang w:val="en-US" w:eastAsia="zh-CN"/>
          <w14:textFill>
            <w14:solidFill>
              <w14:schemeClr w14:val="tx1"/>
            </w14:solidFill>
          </w14:textFill>
        </w:rPr>
        <w:t xml:space="preserve">集成平台安装完成后应进行预顶升试验。         </w:t>
      </w:r>
    </w:p>
    <w:p w14:paraId="40B2D26F">
      <w:pPr>
        <w:ind w:firstLine="482" w:firstLineChars="200"/>
        <w:rPr>
          <w:rFonts w:hint="eastAsia"/>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 xml:space="preserve">20  </w:t>
      </w:r>
      <w:r>
        <w:rPr>
          <w:rFonts w:hint="eastAsia"/>
          <w:color w:val="000000" w:themeColor="text1"/>
          <w:highlight w:val="none"/>
          <w:lang w:val="en-US" w:eastAsia="zh-CN"/>
          <w14:textFill>
            <w14:solidFill>
              <w14:schemeClr w14:val="tx1"/>
            </w14:solidFill>
          </w14:textFill>
        </w:rPr>
        <w:t>集成平台顶升前检查应按要求检查验收。</w:t>
      </w:r>
    </w:p>
    <w:p w14:paraId="68654FC5">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运行操作</w:t>
      </w:r>
    </w:p>
    <w:p w14:paraId="6E4B51E9">
      <w:pPr>
        <w:ind w:firstLine="482" w:firstLineChars="200"/>
        <w:rPr>
          <w:rFonts w:hint="eastAsia"/>
          <w:color w:val="000000" w:themeColor="text1"/>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 xml:space="preserve">1  </w:t>
      </w:r>
      <w:r>
        <w:rPr>
          <w:rFonts w:hint="eastAsia"/>
          <w:color w:val="000000" w:themeColor="text1"/>
          <w14:textFill>
            <w14:solidFill>
              <w14:schemeClr w14:val="tx1"/>
            </w14:solidFill>
          </w14:textFill>
        </w:rPr>
        <w:t>集成平台顶升过程中，不得在集成平台上开展除顶升外的施工作业，与集成平台顶升作业无关的人员应全部撤离作业现场。顶升过程中，在集成平台坠落半径内，应拉设警示带，并设专人监督提醒行人。</w:t>
      </w:r>
    </w:p>
    <w:p w14:paraId="65F82B88">
      <w:pPr>
        <w:ind w:firstLine="482" w:firstLineChars="200"/>
        <w:rPr>
          <w:rFonts w:hint="eastAsia"/>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 xml:space="preserve">2  </w:t>
      </w:r>
      <w:r>
        <w:rPr>
          <w:rFonts w:hint="eastAsia"/>
          <w:color w:val="000000" w:themeColor="text1"/>
          <w:highlight w:val="none"/>
          <w:lang w:val="en-US" w:eastAsia="zh-CN"/>
          <w14:textFill>
            <w14:solidFill>
              <w14:schemeClr w14:val="tx1"/>
            </w14:solidFill>
          </w14:textFill>
        </w:rPr>
        <w:t>集成平台顶升操作流程如图10.1.2所示，当设计有单独要求时，以设计为准：</w:t>
      </w:r>
    </w:p>
    <w:p w14:paraId="3D3E9F14">
      <w:pPr>
        <w:ind w:firstLine="480" w:firstLineChars="200"/>
        <w:jc w:val="center"/>
        <w:rPr>
          <w:rFonts w:hint="default"/>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drawing>
          <wp:inline distT="0" distB="0" distL="114300" distR="114300">
            <wp:extent cx="5319395" cy="3475990"/>
            <wp:effectExtent l="0" t="0" r="14605" b="10160"/>
            <wp:docPr id="3" name="图片 3" descr="通用app登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通用app登录流程图"/>
                    <pic:cNvPicPr>
                      <a:picLocks noChangeAspect="1"/>
                    </pic:cNvPicPr>
                  </pic:nvPicPr>
                  <pic:blipFill>
                    <a:blip r:embed="rId14"/>
                    <a:stretch>
                      <a:fillRect/>
                    </a:stretch>
                  </pic:blipFill>
                  <pic:spPr>
                    <a:xfrm>
                      <a:off x="0" y="0"/>
                      <a:ext cx="5319395" cy="3475990"/>
                    </a:xfrm>
                    <a:prstGeom prst="rect">
                      <a:avLst/>
                    </a:prstGeom>
                  </pic:spPr>
                </pic:pic>
              </a:graphicData>
            </a:graphic>
          </wp:inline>
        </w:drawing>
      </w:r>
    </w:p>
    <w:p w14:paraId="564D84FE">
      <w:pPr>
        <w:ind w:firstLine="420" w:firstLineChars="200"/>
        <w:jc w:val="cente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sz w:val="21"/>
          <w:szCs w:val="21"/>
        </w:rPr>
        <w:t>图</w:t>
      </w:r>
      <w:r>
        <w:rPr>
          <w:rFonts w:hint="default" w:ascii="Times New Roman" w:hAnsi="Times New Roman" w:eastAsia="黑体" w:cs="Times New Roman"/>
          <w:sz w:val="21"/>
          <w:szCs w:val="21"/>
          <w:lang w:val="en-US" w:eastAsia="zh-CN"/>
        </w:rPr>
        <w:t>10.1.2  集成平台顶升操作流程</w:t>
      </w:r>
    </w:p>
    <w:p w14:paraId="56356CB4">
      <w:pPr>
        <w:ind w:firstLine="482" w:firstLineChars="200"/>
        <w:rPr>
          <w:rFonts w:hint="eastAsia"/>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 xml:space="preserve">3  </w:t>
      </w:r>
      <w:r>
        <w:rPr>
          <w:rFonts w:hint="eastAsia"/>
          <w:color w:val="000000" w:themeColor="text1"/>
          <w:highlight w:val="none"/>
          <w14:textFill>
            <w14:solidFill>
              <w14:schemeClr w14:val="tx1"/>
            </w14:solidFill>
          </w14:textFill>
        </w:rPr>
        <w:t>顶升过程中油缸运行速度不应大于10mm/s，回收速度不应大于20mm/s，任意两个顶升油缸活塞杆的监测位移差值宜小于10mm；当位移差超过20mm时应声光报警，位移差达到30mm时顶升油缸应自动停止，纠偏合格后方可再次进行顶升。</w:t>
      </w:r>
    </w:p>
    <w:p w14:paraId="79043D18">
      <w:pPr>
        <w:ind w:firstLine="482" w:firstLineChars="200"/>
        <w:rPr>
          <w:rFonts w:hint="eastAsia"/>
          <w:color w:val="000000" w:themeColor="text1"/>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 xml:space="preserve">4  </w:t>
      </w:r>
      <w:r>
        <w:rPr>
          <w:rFonts w:hint="eastAsia"/>
          <w:color w:val="000000" w:themeColor="text1"/>
          <w:highlight w:val="none"/>
          <w14:textFill>
            <w14:solidFill>
              <w14:schemeClr w14:val="tx1"/>
            </w14:solidFill>
          </w14:textFill>
        </w:rPr>
        <w:t>顶升过</w:t>
      </w:r>
      <w:r>
        <w:rPr>
          <w:rFonts w:hint="eastAsia"/>
          <w:color w:val="000000" w:themeColor="text1"/>
          <w14:textFill>
            <w14:solidFill>
              <w14:schemeClr w14:val="tx1"/>
            </w14:solidFill>
          </w14:textFill>
        </w:rPr>
        <w:t>程中油缸间位移同步差过大时，顶升位移超过报警数值后立即停止顶升，查明原因，纠偏后再次进行顶升。</w:t>
      </w:r>
    </w:p>
    <w:p w14:paraId="79588D2E">
      <w:pPr>
        <w:ind w:firstLine="482" w:firstLineChars="200"/>
        <w:rPr>
          <w:rFonts w:hint="eastAsia"/>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5</w:t>
      </w:r>
      <w:r>
        <w:rPr>
          <w:rFonts w:hint="eastAsia" w:cs="Times New Roman"/>
          <w:color w:val="000000" w:themeColor="text1"/>
          <w:highlight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发生位移差超限报警自动停机后，应停止顶升作业，排查偏载、构件卡阻、传感器故障根源，消除隐患后方可重启；严禁屏蔽、短接同步偏差保护强行顶升纠偏，处置全过程形成记录归档。</w:t>
      </w:r>
    </w:p>
    <w:p w14:paraId="31EF4DD4">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3</w:t>
      </w:r>
      <w:r>
        <w:rPr>
          <w:rFonts w:hint="eastAsia"/>
          <w:b/>
          <w:bCs/>
          <w:color w:val="000000" w:themeColor="text1"/>
          <w:lang w:val="en-US" w:eastAsia="zh-CN"/>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停机流程</w:t>
      </w:r>
    </w:p>
    <w:p w14:paraId="00A7509E">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单次顶升结束后，直至下次顶升前，集成平台处于停机状态。停机后应进行如下操作：</w:t>
      </w:r>
    </w:p>
    <w:p w14:paraId="3CC2BFC3">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1）</w:t>
      </w:r>
      <w:r>
        <w:rPr>
          <w:rFonts w:hint="eastAsia"/>
          <w:color w:val="000000" w:themeColor="text1"/>
          <w14:textFill>
            <w14:solidFill>
              <w14:schemeClr w14:val="tx1"/>
            </w14:solidFill>
          </w14:textFill>
        </w:rPr>
        <w:t>顶升后，应对集成平台的水平度、垂直度，支承架的轴线位置、标高、垂直度进行复测，并与监测数据、设计资料进行对比分析，当超出设计要求时应采取纠偏措施。</w:t>
      </w:r>
    </w:p>
    <w:p w14:paraId="23CDCE53">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2）</w:t>
      </w:r>
      <w:r>
        <w:rPr>
          <w:rFonts w:hint="eastAsia"/>
          <w:color w:val="000000" w:themeColor="text1"/>
          <w14:textFill>
            <w14:solidFill>
              <w14:schemeClr w14:val="tx1"/>
            </w14:solidFill>
          </w14:textFill>
        </w:rPr>
        <w:t>集成平台停机状态下钢平台顶部及挂架内部严禁堆载。</w:t>
      </w:r>
    </w:p>
    <w:p w14:paraId="47F2060B">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3）</w:t>
      </w:r>
      <w:r>
        <w:rPr>
          <w:rFonts w:hint="eastAsia"/>
          <w:color w:val="000000" w:themeColor="text1"/>
          <w14:textFill>
            <w14:solidFill>
              <w14:schemeClr w14:val="tx1"/>
            </w14:solidFill>
          </w14:textFill>
        </w:rPr>
        <w:t>集成平台停工前应清除挂架内部及钢平台顶部材料，防止停工期间因刮风或其他原因造成材料掉落。</w:t>
      </w:r>
    </w:p>
    <w:p w14:paraId="716BABD3">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4）</w:t>
      </w:r>
      <w:r>
        <w:rPr>
          <w:rFonts w:hint="eastAsia"/>
          <w:color w:val="000000" w:themeColor="text1"/>
          <w14:textFill>
            <w14:solidFill>
              <w14:schemeClr w14:val="tx1"/>
            </w14:solidFill>
          </w14:textFill>
        </w:rPr>
        <w:t>停机期间若遇强风（风速达到8级、20m/s及以上）、大雨、大雪、浓雾等恶劣天气，或其他不可抗力因素导致需暂停施工时，挂架与主体结构应当可靠拉结，做好防风措施。</w:t>
      </w:r>
    </w:p>
    <w:p w14:paraId="6AEC32BC">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5）</w:t>
      </w:r>
      <w:r>
        <w:rPr>
          <w:rFonts w:hint="eastAsia"/>
          <w:color w:val="000000" w:themeColor="text1"/>
          <w14:textFill>
            <w14:solidFill>
              <w14:schemeClr w14:val="tx1"/>
            </w14:solidFill>
          </w14:textFill>
        </w:rPr>
        <w:t>检查、确保集成平台各系统安全防护设施恢复且安全可靠。</w:t>
      </w:r>
    </w:p>
    <w:p w14:paraId="1939F9CB">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6）</w:t>
      </w:r>
      <w:r>
        <w:rPr>
          <w:rFonts w:hint="eastAsia"/>
          <w:color w:val="000000" w:themeColor="text1"/>
          <w14:textFill>
            <w14:solidFill>
              <w14:schemeClr w14:val="tx1"/>
            </w14:solidFill>
          </w14:textFill>
        </w:rPr>
        <w:t>检查、确保防雷装置功能正常，防雷接地可靠。</w:t>
      </w:r>
    </w:p>
    <w:p w14:paraId="01ACDFFC">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7）</w:t>
      </w:r>
      <w:r>
        <w:rPr>
          <w:rFonts w:hint="eastAsia"/>
          <w:color w:val="000000" w:themeColor="text1"/>
          <w14:textFill>
            <w14:solidFill>
              <w14:schemeClr w14:val="tx1"/>
            </w14:solidFill>
          </w14:textFill>
        </w:rPr>
        <w:t>集成平台顶升控制柜断电，控制室锁门。</w:t>
      </w:r>
    </w:p>
    <w:p w14:paraId="366D34BB">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8）</w:t>
      </w:r>
      <w:r>
        <w:rPr>
          <w:rFonts w:hint="eastAsia"/>
          <w:color w:val="000000" w:themeColor="text1"/>
          <w14:textFill>
            <w14:solidFill>
              <w14:schemeClr w14:val="tx1"/>
            </w14:solidFill>
          </w14:textFill>
        </w:rPr>
        <w:t>附墙支座紧固件安装符合设计要求。</w:t>
      </w:r>
    </w:p>
    <w:p w14:paraId="490AE064">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9）</w:t>
      </w:r>
      <w:r>
        <w:rPr>
          <w:rFonts w:hint="eastAsia"/>
          <w:color w:val="000000" w:themeColor="text1"/>
          <w14:textFill>
            <w14:solidFill>
              <w14:schemeClr w14:val="tx1"/>
            </w14:solidFill>
          </w14:textFill>
        </w:rPr>
        <w:t>导轨立柱整体垂直度偏差≤</w:t>
      </w: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且</w:t>
      </w:r>
      <w:r>
        <w:rPr>
          <w:rFonts w:hint="eastAsia"/>
          <w:color w:val="000000" w:themeColor="text1"/>
          <w:lang w:val="en-US" w:eastAsia="zh-CN"/>
          <w14:textFill>
            <w14:solidFill>
              <w14:schemeClr w14:val="tx1"/>
            </w14:solidFill>
          </w14:textFill>
        </w:rPr>
        <w:t>不大于±1</w:t>
      </w:r>
      <w:r>
        <w:rPr>
          <w:rFonts w:hint="eastAsia"/>
          <w:color w:val="000000" w:themeColor="text1"/>
          <w14:textFill>
            <w14:solidFill>
              <w14:schemeClr w14:val="tx1"/>
            </w14:solidFill>
          </w14:textFill>
        </w:rPr>
        <w:t>0mm, 导向、防坠、防倾覆功能完好。</w:t>
      </w:r>
    </w:p>
    <w:p w14:paraId="6EE8EB39">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10）</w:t>
      </w:r>
      <w:r>
        <w:rPr>
          <w:rFonts w:hint="eastAsia"/>
          <w:color w:val="000000" w:themeColor="text1"/>
          <w14:textFill>
            <w14:solidFill>
              <w14:schemeClr w14:val="tx1"/>
            </w14:solidFill>
          </w14:textFill>
        </w:rPr>
        <w:t>每个支点位置至少2个附墙支座可靠受力。</w:t>
      </w:r>
    </w:p>
    <w:p w14:paraId="60E319E1">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11）</w:t>
      </w:r>
      <w:r>
        <w:rPr>
          <w:rFonts w:hint="eastAsia"/>
          <w:color w:val="000000" w:themeColor="text1"/>
          <w14:textFill>
            <w14:solidFill>
              <w14:schemeClr w14:val="tx1"/>
            </w14:solidFill>
          </w14:textFill>
        </w:rPr>
        <w:t>附墙支座钩爪与导轨立柱、承力转换机构可靠咬合。</w:t>
      </w:r>
    </w:p>
    <w:p w14:paraId="7CE20C6E">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12）</w:t>
      </w:r>
      <w:r>
        <w:rPr>
          <w:rFonts w:hint="eastAsia"/>
          <w:color w:val="000000" w:themeColor="text1"/>
          <w14:textFill>
            <w14:solidFill>
              <w14:schemeClr w14:val="tx1"/>
            </w14:solidFill>
          </w14:textFill>
        </w:rPr>
        <w:t>钢平台走道板及防护无缺失。</w:t>
      </w:r>
    </w:p>
    <w:p w14:paraId="4057920E">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13）</w:t>
      </w:r>
      <w:r>
        <w:rPr>
          <w:rFonts w:hint="eastAsia"/>
          <w:color w:val="000000" w:themeColor="text1"/>
          <w14:textFill>
            <w14:solidFill>
              <w14:schemeClr w14:val="tx1"/>
            </w14:solidFill>
          </w14:textFill>
        </w:rPr>
        <w:t>外防护挂架底层及施工作业层下层密闭防护翻板已恢复，斜靠主体结构倾角为45°~60°。</w:t>
      </w:r>
    </w:p>
    <w:p w14:paraId="0C5524A0">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14）</w:t>
      </w:r>
      <w:r>
        <w:rPr>
          <w:rFonts w:hint="eastAsia"/>
          <w:color w:val="000000" w:themeColor="text1"/>
          <w14:textFill>
            <w14:solidFill>
              <w14:schemeClr w14:val="tx1"/>
            </w14:solidFill>
          </w14:textFill>
        </w:rPr>
        <w:t>外防护挂架与外附式施工电梯、塔吊附臂交接位 置</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若有</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防护措施完整可靠。</w:t>
      </w:r>
    </w:p>
    <w:p w14:paraId="223BF682">
      <w:pPr>
        <w:ind w:firstLine="482" w:firstLineChars="200"/>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15）</w:t>
      </w:r>
      <w:r>
        <w:rPr>
          <w:rFonts w:hint="eastAsia"/>
          <w:color w:val="000000" w:themeColor="text1"/>
          <w14:textFill>
            <w14:solidFill>
              <w14:schemeClr w14:val="tx1"/>
            </w14:solidFill>
          </w14:textFill>
        </w:rPr>
        <w:t>液压系统电线、油管布置有效附着，管路畅通，液压管线无缠绕情况。</w:t>
      </w:r>
    </w:p>
    <w:p w14:paraId="1FF4B4AC">
      <w:pPr>
        <w:ind w:firstLine="482" w:firstLineChars="200"/>
        <w:rPr>
          <w:rFonts w:hint="eastAsia"/>
          <w:color w:val="000000" w:themeColor="text1"/>
          <w:highlight w:val="none"/>
          <w:lang w:val="en-US" w:eastAsia="zh-CN"/>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16）</w:t>
      </w:r>
      <w:r>
        <w:rPr>
          <w:rFonts w:hint="eastAsia"/>
          <w:color w:val="000000" w:themeColor="text1"/>
          <w:highlight w:val="none"/>
          <w:lang w:val="en-US" w:eastAsia="zh-CN"/>
          <w14:textFill>
            <w14:solidFill>
              <w14:schemeClr w14:val="tx1"/>
            </w14:solidFill>
          </w14:textFill>
        </w:rPr>
        <w:t>集成平台顶升后检查应按要求检查验收。</w:t>
      </w:r>
    </w:p>
    <w:p w14:paraId="4F1B3C14">
      <w:pPr>
        <w:rPr>
          <w:rFonts w:hint="eastAsia" w:eastAsia="宋体"/>
          <w:color w:val="000000" w:themeColor="text1"/>
          <w:lang w:val="en-US" w:eastAsia="zh-CN"/>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人员</w:t>
      </w:r>
      <w:r>
        <w:rPr>
          <w:rFonts w:hint="eastAsia"/>
          <w:color w:val="000000" w:themeColor="text1"/>
          <w:lang w:val="en-US" w:eastAsia="zh-CN"/>
          <w14:textFill>
            <w14:solidFill>
              <w14:schemeClr w14:val="tx1"/>
            </w14:solidFill>
          </w14:textFill>
        </w:rPr>
        <w:t>培训及</w:t>
      </w:r>
      <w:r>
        <w:rPr>
          <w:rFonts w:hint="eastAsia"/>
          <w:color w:val="000000" w:themeColor="text1"/>
          <w14:textFill>
            <w14:solidFill>
              <w14:schemeClr w14:val="tx1"/>
            </w14:solidFill>
          </w14:textFill>
        </w:rPr>
        <w:t>交接班</w:t>
      </w:r>
      <w:r>
        <w:rPr>
          <w:rFonts w:hint="eastAsia"/>
          <w:color w:val="000000" w:themeColor="text1"/>
          <w:lang w:val="en-US" w:eastAsia="zh-CN"/>
          <w14:textFill>
            <w14:solidFill>
              <w14:schemeClr w14:val="tx1"/>
            </w14:solidFill>
          </w14:textFill>
        </w:rPr>
        <w:t>要求</w:t>
      </w:r>
    </w:p>
    <w:p w14:paraId="15BC2C8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lang w:val="en-US" w:eastAsia="zh-CN"/>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lang w:val="en-US" w:eastAsia="zh-CN"/>
          <w14:textFill>
            <w14:solidFill>
              <w14:schemeClr w14:val="tx1"/>
            </w14:solidFill>
          </w14:textFill>
        </w:rPr>
        <w:t>集成平台运行维护特别</w:t>
      </w:r>
      <w:r>
        <w:rPr>
          <w:color w:val="000000" w:themeColor="text1"/>
          <w14:textFill>
            <w14:solidFill>
              <w14:schemeClr w14:val="tx1"/>
            </w14:solidFill>
          </w14:textFill>
        </w:rPr>
        <w:t>顶升操控</w:t>
      </w:r>
      <w:r>
        <w:rPr>
          <w:rFonts w:hint="eastAsia"/>
          <w:color w:val="000000" w:themeColor="text1"/>
          <w:lang w:val="en-US" w:eastAsia="zh-CN"/>
          <w14:textFill>
            <w14:solidFill>
              <w14:schemeClr w14:val="tx1"/>
            </w14:solidFill>
          </w14:textFill>
        </w:rPr>
        <w:t>以及</w:t>
      </w:r>
      <w:r>
        <w:rPr>
          <w:color w:val="000000" w:themeColor="text1"/>
          <w14:textFill>
            <w14:solidFill>
              <w14:schemeClr w14:val="tx1"/>
            </w14:solidFill>
          </w14:textFill>
        </w:rPr>
        <w:t>日常运行人员必须</w:t>
      </w:r>
      <w:r>
        <w:rPr>
          <w:rFonts w:hint="eastAsia"/>
          <w:color w:val="000000" w:themeColor="text1"/>
          <w:lang w:eastAsia="zh-CN"/>
          <w14:textFill>
            <w14:solidFill>
              <w14:schemeClr w14:val="tx1"/>
            </w14:solidFill>
          </w14:textFill>
        </w:rPr>
        <w:t>经过</w:t>
      </w:r>
      <w:r>
        <w:rPr>
          <w:color w:val="000000" w:themeColor="text1"/>
          <w14:textFill>
            <w14:solidFill>
              <w14:schemeClr w14:val="tx1"/>
            </w14:solidFill>
          </w14:textFill>
        </w:rPr>
        <w:t>设备厂家专项技术培训，掌握液压系统、同步控制、应急处置流程，经项目验收合格后方可独立上岗。</w:t>
      </w:r>
    </w:p>
    <w:p w14:paraId="04266A35">
      <w:pPr>
        <w:ind w:firstLine="482" w:firstLineChars="200"/>
        <w:rPr>
          <w:rFonts w:hint="eastAsia"/>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 xml:space="preserve">2  </w:t>
      </w:r>
      <w:r>
        <w:rPr>
          <w:rFonts w:hint="eastAsia"/>
          <w:color w:val="000000" w:themeColor="text1"/>
          <w14:textFill>
            <w14:solidFill>
              <w14:schemeClr w14:val="tx1"/>
            </w14:solidFill>
          </w14:textFill>
        </w:rPr>
        <w:t>集成平台工作人员交接班时，应于交接人员应对集成平台的工作性能、运行状态、运行管理流程进行充分说明，并按照顶升前检查内容对集成平台进行充分检查，留存交接、检查记录。</w:t>
      </w:r>
    </w:p>
    <w:p w14:paraId="4A91D2A6">
      <w:pPr>
        <w:pStyle w:val="3"/>
        <w:bidi w:val="0"/>
        <w:rPr>
          <w:rFonts w:hint="eastAsia"/>
          <w:b/>
          <w:bCs/>
          <w:color w:val="000000" w:themeColor="text1"/>
          <w:kern w:val="0"/>
          <w:lang w:bidi="ar"/>
          <w14:textFill>
            <w14:solidFill>
              <w14:schemeClr w14:val="tx1"/>
            </w14:solidFill>
          </w14:textFill>
        </w:rPr>
      </w:pPr>
      <w:bookmarkStart w:id="179" w:name="_Toc11287"/>
      <w:r>
        <w:rPr>
          <w:rFonts w:hint="eastAsia"/>
          <w:color w:val="000000" w:themeColor="text1"/>
          <w:lang w:val="en-US" w:eastAsia="zh-CN"/>
          <w14:textFill>
            <w14:solidFill>
              <w14:schemeClr w14:val="tx1"/>
            </w14:solidFill>
          </w14:textFill>
        </w:rPr>
        <w:t>10</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工况转换管理</w:t>
      </w:r>
      <w:bookmarkEnd w:id="179"/>
    </w:p>
    <w:p w14:paraId="33638C4F">
      <w:pPr>
        <w:widowControl/>
        <w:rPr>
          <w:rFonts w:hint="eastAsia"/>
          <w:b/>
          <w:bCs/>
          <w:color w:val="000000" w:themeColor="text1"/>
          <w:kern w:val="0"/>
          <w:lang w:bidi="ar"/>
          <w14:textFill>
            <w14:solidFill>
              <w14:schemeClr w14:val="tx1"/>
            </w14:solidFill>
          </w14:textFill>
        </w:rPr>
      </w:pPr>
    </w:p>
    <w:p w14:paraId="1B7AB2C1">
      <w:pPr>
        <w:widowControl/>
        <w:rPr>
          <w:rFonts w:hint="eastAsia"/>
          <w:color w:val="000000" w:themeColor="text1"/>
          <w:kern w:val="0"/>
          <w:lang w:bidi="ar"/>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2</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集成平台应明确施工、顶升、停工、应急四种工况的转换条件与程序，确保工况转换过程安全可控、操作有序。</w:t>
      </w:r>
    </w:p>
    <w:p w14:paraId="4958C1D4">
      <w:pPr>
        <w:widowControl/>
        <w:rPr>
          <w:color w:val="000000" w:themeColor="text1"/>
          <w:kern w:val="0"/>
          <w:lang w:bidi="ar"/>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2</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2</w:t>
      </w:r>
      <w:r>
        <w:rPr>
          <w:rFonts w:hint="eastAsia"/>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施工</w:t>
      </w:r>
      <w:r>
        <w:rPr>
          <w:color w:val="000000" w:themeColor="text1"/>
          <w:kern w:val="0"/>
          <w:lang w:bidi="ar"/>
          <w14:textFill>
            <w14:solidFill>
              <w14:schemeClr w14:val="tx1"/>
            </w14:solidFill>
          </w14:textFill>
        </w:rPr>
        <w:t>↔</w:t>
      </w:r>
      <w:r>
        <w:rPr>
          <w:rFonts w:hint="eastAsia"/>
          <w:color w:val="000000" w:themeColor="text1"/>
          <w:kern w:val="0"/>
          <w:lang w:bidi="ar"/>
          <w14:textFill>
            <w14:solidFill>
              <w14:schemeClr w14:val="tx1"/>
            </w14:solidFill>
          </w14:textFill>
        </w:rPr>
        <w:t>顶升工况转换</w:t>
      </w:r>
    </w:p>
    <w:p w14:paraId="5430D68F">
      <w:pPr>
        <w:widowControl/>
        <w:ind w:firstLine="480" w:firstLineChars="200"/>
        <w:rPr>
          <w:rFonts w:hint="eastAsia"/>
          <w:color w:val="000000" w:themeColor="text1"/>
          <w:kern w:val="0"/>
          <w:lang w:bidi="ar"/>
          <w14:textFill>
            <w14:solidFill>
              <w14:schemeClr w14:val="tx1"/>
            </w14:solidFill>
          </w14:textFill>
        </w:rPr>
      </w:pPr>
      <w:r>
        <w:rPr>
          <w:rFonts w:hint="eastAsia"/>
          <w:color w:val="000000" w:themeColor="text1"/>
          <w:kern w:val="0"/>
          <w:lang w:bidi="ar"/>
          <w14:textFill>
            <w14:solidFill>
              <w14:schemeClr w14:val="tx1"/>
            </w14:solidFill>
          </w14:textFill>
        </w:rPr>
        <w:t>施工转顶升的启动条件：混凝土浇筑完成并达到规定强度、模板系统已完全脱开墙体、影响顶升的障碍物已清除、支承处混凝土强度达到设计要求（不应低于20MPa）。</w:t>
      </w:r>
    </w:p>
    <w:p w14:paraId="20914770">
      <w:pPr>
        <w:widowControl/>
        <w:ind w:firstLine="480" w:firstLineChars="200"/>
        <w:rPr>
          <w:rFonts w:hint="eastAsia"/>
          <w:color w:val="000000" w:themeColor="text1"/>
          <w:kern w:val="0"/>
          <w:lang w:bidi="ar"/>
          <w14:textFill>
            <w14:solidFill>
              <w14:schemeClr w14:val="tx1"/>
            </w14:solidFill>
          </w14:textFill>
        </w:rPr>
      </w:pPr>
      <w:r>
        <w:rPr>
          <w:rFonts w:hint="eastAsia"/>
          <w:color w:val="000000" w:themeColor="text1"/>
          <w:kern w:val="0"/>
          <w:lang w:bidi="ar"/>
          <w14:textFill>
            <w14:solidFill>
              <w14:schemeClr w14:val="tx1"/>
            </w14:solidFill>
          </w14:textFill>
        </w:rPr>
        <w:t>转换操作程序：</w:t>
      </w:r>
    </w:p>
    <w:p w14:paraId="01EC9E56">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挂架系统处理：顶升前应将挂架底层及施工作业层下层的防护翻板全部翻起并可靠固定，使挂架与墙体脱离接触，避免顶升过程中翻板与墙体</w:t>
      </w:r>
      <w:r>
        <w:rPr>
          <w:rFonts w:hint="eastAsia"/>
          <w:color w:val="000000" w:themeColor="text1"/>
          <w:kern w:val="0"/>
          <w:lang w:val="en-US" w:eastAsia="zh-CN" w:bidi="ar"/>
          <w14:textFill>
            <w14:solidFill>
              <w14:schemeClr w14:val="tx1"/>
            </w14:solidFill>
          </w14:textFill>
        </w:rPr>
        <w:t>刮蹭</w:t>
      </w:r>
      <w:r>
        <w:rPr>
          <w:rFonts w:hint="eastAsia"/>
          <w:color w:val="000000" w:themeColor="text1"/>
          <w:kern w:val="0"/>
          <w:lang w:bidi="ar"/>
          <w14:textFill>
            <w14:solidFill>
              <w14:schemeClr w14:val="tx1"/>
            </w14:solidFill>
          </w14:textFill>
        </w:rPr>
        <w:t>损坏。当建筑为斜墙结构时，应采用双翻板设计以适应内挂架内收后的间距变化。</w:t>
      </w:r>
    </w:p>
    <w:p w14:paraId="20EFED9A">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bidi="ar"/>
          <w14:textFill>
            <w14:solidFill>
              <w14:schemeClr w14:val="tx1"/>
            </w14:solidFill>
          </w14:textFill>
        </w:rPr>
        <w:t>2</w:t>
      </w:r>
      <w:r>
        <w:rPr>
          <w:rFonts w:hint="eastAsia"/>
          <w:b/>
          <w:bCs/>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障碍物清理：应清除挂架走道板及钢平台顶部的零散材料和建渣；解除平台与主体结构之间的所有临时约束和拉结；确认塔吊附墙撑杆等设施与挂架已无干涉。</w:t>
      </w:r>
    </w:p>
    <w:p w14:paraId="69000EB2">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bidi="ar"/>
          <w14:textFill>
            <w14:solidFill>
              <w14:schemeClr w14:val="tx1"/>
            </w14:solidFill>
          </w14:textFill>
        </w:rPr>
        <w:t>3</w:t>
      </w:r>
      <w:r>
        <w:rPr>
          <w:rFonts w:hint="eastAsia"/>
          <w:b/>
          <w:bCs/>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模板脱开确认：确认所有模板吊杆与墙体完全脱开，且模板已退至安全距离，与挂架进行临时固定防止晃动。</w:t>
      </w:r>
    </w:p>
    <w:p w14:paraId="669C4841">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bidi="ar"/>
          <w14:textFill>
            <w14:solidFill>
              <w14:schemeClr w14:val="tx1"/>
            </w14:solidFill>
          </w14:textFill>
        </w:rPr>
        <w:t>4</w:t>
      </w:r>
      <w:r>
        <w:rPr>
          <w:rFonts w:hint="eastAsia"/>
          <w:b/>
          <w:bCs/>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顶升指令下达：上述工序完成后，经专项检查验收合格，由总指挥下达顶升指令。</w:t>
      </w:r>
    </w:p>
    <w:p w14:paraId="625386D8">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val="en-US" w:eastAsia="zh-CN" w:bidi="ar"/>
          <w14:textFill>
            <w14:solidFill>
              <w14:schemeClr w14:val="tx1"/>
            </w14:solidFill>
          </w14:textFill>
        </w:rPr>
        <w:t>5</w:t>
      </w:r>
      <w:r>
        <w:rPr>
          <w:rFonts w:hint="eastAsia"/>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顶升转施工的到位条件：顶升到位、附墙支座已可靠受力并完成换步、平台已调平并完成姿态确认、风速满足作业要求。</w:t>
      </w:r>
    </w:p>
    <w:p w14:paraId="2E2BAC44">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val="en-US" w:eastAsia="zh-CN" w:bidi="ar"/>
          <w14:textFill>
            <w14:solidFill>
              <w14:schemeClr w14:val="tx1"/>
            </w14:solidFill>
          </w14:textFill>
        </w:rPr>
        <w:t>6</w:t>
      </w:r>
      <w:r>
        <w:rPr>
          <w:rFonts w:hint="eastAsia"/>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转换操作程序：</w:t>
      </w:r>
    </w:p>
    <w:p w14:paraId="28E9C20B">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eastAsia="zh-CN" w:bidi="ar"/>
          <w14:textFill>
            <w14:solidFill>
              <w14:schemeClr w14:val="tx1"/>
            </w14:solidFill>
          </w14:textFill>
        </w:rPr>
        <w:t>（</w:t>
      </w:r>
      <w:r>
        <w:rPr>
          <w:rFonts w:hint="eastAsia"/>
          <w:b/>
          <w:bCs/>
          <w:color w:val="000000" w:themeColor="text1"/>
          <w:kern w:val="0"/>
          <w:lang w:bidi="ar"/>
          <w14:textFill>
            <w14:solidFill>
              <w14:schemeClr w14:val="tx1"/>
            </w14:solidFill>
          </w14:textFill>
        </w:rPr>
        <w:t>1）</w:t>
      </w:r>
      <w:r>
        <w:rPr>
          <w:rFonts w:hint="eastAsia"/>
          <w:color w:val="000000" w:themeColor="text1"/>
          <w:kern w:val="0"/>
          <w:lang w:bidi="ar"/>
          <w14:textFill>
            <w14:solidFill>
              <w14:schemeClr w14:val="tx1"/>
            </w14:solidFill>
          </w14:textFill>
        </w:rPr>
        <w:t>支撑系统转换：顶升到位后应及时将附墙支座与导轨立柱可靠连接，完成荷载转换。</w:t>
      </w:r>
    </w:p>
    <w:p w14:paraId="00957DA8">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eastAsia="zh-CN" w:bidi="ar"/>
          <w14:textFill>
            <w14:solidFill>
              <w14:schemeClr w14:val="tx1"/>
            </w14:solidFill>
          </w14:textFill>
        </w:rPr>
        <w:t>（</w:t>
      </w:r>
      <w:r>
        <w:rPr>
          <w:rFonts w:hint="eastAsia"/>
          <w:b/>
          <w:bCs/>
          <w:color w:val="000000" w:themeColor="text1"/>
          <w:kern w:val="0"/>
          <w:lang w:bidi="ar"/>
          <w14:textFill>
            <w14:solidFill>
              <w14:schemeClr w14:val="tx1"/>
            </w14:solidFill>
          </w14:textFill>
        </w:rPr>
        <w:t>2）</w:t>
      </w:r>
      <w:r>
        <w:rPr>
          <w:rFonts w:hint="eastAsia"/>
          <w:color w:val="000000" w:themeColor="text1"/>
          <w:kern w:val="0"/>
          <w:lang w:bidi="ar"/>
          <w14:textFill>
            <w14:solidFill>
              <w14:schemeClr w14:val="tx1"/>
            </w14:solidFill>
          </w14:textFill>
        </w:rPr>
        <w:t>翻板复位封闭：将顶升前翻起的防护翻板全部放下复位，恢复挂架与墙体之间的全封闭状态，形成底部硬质防护。</w:t>
      </w:r>
    </w:p>
    <w:p w14:paraId="0EE07A38">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eastAsia="zh-CN" w:bidi="ar"/>
          <w14:textFill>
            <w14:solidFill>
              <w14:schemeClr w14:val="tx1"/>
            </w14:solidFill>
          </w14:textFill>
        </w:rPr>
        <w:t>（</w:t>
      </w:r>
      <w:r>
        <w:rPr>
          <w:rFonts w:hint="eastAsia"/>
          <w:b/>
          <w:bCs/>
          <w:color w:val="000000" w:themeColor="text1"/>
          <w:kern w:val="0"/>
          <w:lang w:bidi="ar"/>
          <w14:textFill>
            <w14:solidFill>
              <w14:schemeClr w14:val="tx1"/>
            </w14:solidFill>
          </w14:textFill>
        </w:rPr>
        <w:t>3）</w:t>
      </w:r>
      <w:r>
        <w:rPr>
          <w:rFonts w:hint="eastAsia"/>
          <w:color w:val="000000" w:themeColor="text1"/>
          <w:kern w:val="0"/>
          <w:lang w:bidi="ar"/>
          <w14:textFill>
            <w14:solidFill>
              <w14:schemeClr w14:val="tx1"/>
            </w14:solidFill>
          </w14:textFill>
        </w:rPr>
        <w:t>挂架通道恢复：如有可翻转爬升楼梯，应将其复位搭接至钢平台，恢复上下通行通道。</w:t>
      </w:r>
    </w:p>
    <w:p w14:paraId="4268C58B">
      <w:pPr>
        <w:widowControl/>
        <w:rPr>
          <w:color w:val="000000" w:themeColor="text1"/>
          <w:kern w:val="0"/>
          <w:lang w:bidi="ar"/>
          <w14:textFill>
            <w14:solidFill>
              <w14:schemeClr w14:val="tx1"/>
            </w14:solidFill>
          </w14:textFill>
        </w:rPr>
      </w:pPr>
      <w:r>
        <w:rPr>
          <w:rFonts w:hint="eastAsia"/>
          <w:b/>
          <w:bCs/>
          <w:color w:val="000000" w:themeColor="text1"/>
          <w:kern w:val="0"/>
          <w:lang w:val="en-US" w:eastAsia="zh-CN" w:bidi="ar"/>
          <w14:textFill>
            <w14:solidFill>
              <w14:schemeClr w14:val="tx1"/>
            </w14:solidFill>
          </w14:textFill>
        </w:rPr>
        <w:t>10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2</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3</w:t>
      </w:r>
      <w:r>
        <w:rPr>
          <w:color w:val="000000" w:themeColor="text1"/>
          <w:kern w:val="0"/>
          <w:lang w:bidi="ar"/>
          <w14:textFill>
            <w14:solidFill>
              <w14:schemeClr w14:val="tx1"/>
            </w14:solidFill>
          </w14:textFill>
        </w:rPr>
        <w:t xml:space="preserve"> </w:t>
      </w:r>
      <w:r>
        <w:rPr>
          <w:rFonts w:hint="eastAsia"/>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施工</w:t>
      </w:r>
      <w:r>
        <w:rPr>
          <w:color w:val="000000" w:themeColor="text1"/>
          <w:kern w:val="0"/>
          <w:lang w:bidi="ar"/>
          <w14:textFill>
            <w14:solidFill>
              <w14:schemeClr w14:val="tx1"/>
            </w14:solidFill>
          </w14:textFill>
        </w:rPr>
        <w:t>↔</w:t>
      </w:r>
      <w:r>
        <w:rPr>
          <w:rFonts w:hint="eastAsia"/>
          <w:color w:val="000000" w:themeColor="text1"/>
          <w:kern w:val="0"/>
          <w:lang w:bidi="ar"/>
          <w14:textFill>
            <w14:solidFill>
              <w14:schemeClr w14:val="tx1"/>
            </w14:solidFill>
          </w14:textFill>
        </w:rPr>
        <w:t>停工工况转换</w:t>
      </w:r>
    </w:p>
    <w:p w14:paraId="2342CBCB">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val="en-US" w:eastAsia="zh-CN" w:bidi="ar"/>
          <w14:textFill>
            <w14:solidFill>
              <w14:schemeClr w14:val="tx1"/>
            </w14:solidFill>
          </w14:textFill>
        </w:rPr>
        <w:t>1</w:t>
      </w:r>
      <w:r>
        <w:rPr>
          <w:rFonts w:hint="eastAsia"/>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施工转停工条件：遇强风（风速达到8级、20m/s及以上）、大雨、大雪、浓雾等恶劣天气，或其他不可抗力因素导致需暂停施工时。</w:t>
      </w:r>
    </w:p>
    <w:p w14:paraId="6E6F7847">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val="en-US" w:eastAsia="zh-CN" w:bidi="ar"/>
          <w14:textFill>
            <w14:solidFill>
              <w14:schemeClr w14:val="tx1"/>
            </w14:solidFill>
          </w14:textFill>
        </w:rPr>
        <w:t>2</w:t>
      </w:r>
      <w:r>
        <w:rPr>
          <w:rFonts w:hint="eastAsia"/>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转换操作程序：</w:t>
      </w:r>
    </w:p>
    <w:p w14:paraId="7E7866EB">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eastAsia="zh-CN" w:bidi="ar"/>
          <w14:textFill>
            <w14:solidFill>
              <w14:schemeClr w14:val="tx1"/>
            </w14:solidFill>
          </w14:textFill>
        </w:rPr>
        <w:t>（</w:t>
      </w:r>
      <w:r>
        <w:rPr>
          <w:rFonts w:hint="eastAsia"/>
          <w:b/>
          <w:bCs/>
          <w:color w:val="000000" w:themeColor="text1"/>
          <w:kern w:val="0"/>
          <w:lang w:bidi="ar"/>
          <w14:textFill>
            <w14:solidFill>
              <w14:schemeClr w14:val="tx1"/>
            </w14:solidFill>
          </w14:textFill>
        </w:rPr>
        <w:t>1）</w:t>
      </w:r>
      <w:r>
        <w:rPr>
          <w:rFonts w:hint="eastAsia"/>
          <w:color w:val="000000" w:themeColor="text1"/>
          <w:kern w:val="0"/>
          <w:lang w:bidi="ar"/>
          <w14:textFill>
            <w14:solidFill>
              <w14:schemeClr w14:val="tx1"/>
            </w14:solidFill>
          </w14:textFill>
        </w:rPr>
        <w:t>材料清理：清除钢平台顶部及挂架走道板上的所有堆载材料，确保平台处于轻载状态。</w:t>
      </w:r>
    </w:p>
    <w:p w14:paraId="6CD58217">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eastAsia="zh-CN" w:bidi="ar"/>
          <w14:textFill>
            <w14:solidFill>
              <w14:schemeClr w14:val="tx1"/>
            </w14:solidFill>
          </w14:textFill>
        </w:rPr>
        <w:t>（</w:t>
      </w:r>
      <w:r>
        <w:rPr>
          <w:rFonts w:hint="eastAsia"/>
          <w:b/>
          <w:bCs/>
          <w:color w:val="000000" w:themeColor="text1"/>
          <w:kern w:val="0"/>
          <w:lang w:bidi="ar"/>
          <w14:textFill>
            <w14:solidFill>
              <w14:schemeClr w14:val="tx1"/>
            </w14:solidFill>
          </w14:textFill>
        </w:rPr>
        <w:t>2）</w:t>
      </w:r>
      <w:r>
        <w:rPr>
          <w:rFonts w:hint="eastAsia"/>
          <w:color w:val="000000" w:themeColor="text1"/>
          <w:kern w:val="0"/>
          <w:lang w:bidi="ar"/>
          <w14:textFill>
            <w14:solidFill>
              <w14:schemeClr w14:val="tx1"/>
            </w14:solidFill>
          </w14:textFill>
        </w:rPr>
        <w:t>结构加固：将挂架与主体结构进行可靠拉结固定，采取防风加固措施。</w:t>
      </w:r>
    </w:p>
    <w:p w14:paraId="26187EE4">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eastAsia="zh-CN" w:bidi="ar"/>
          <w14:textFill>
            <w14:solidFill>
              <w14:schemeClr w14:val="tx1"/>
            </w14:solidFill>
          </w14:textFill>
        </w:rPr>
        <w:t>（</w:t>
      </w:r>
      <w:r>
        <w:rPr>
          <w:rFonts w:hint="eastAsia"/>
          <w:b/>
          <w:bCs/>
          <w:color w:val="000000" w:themeColor="text1"/>
          <w:kern w:val="0"/>
          <w:lang w:bidi="ar"/>
          <w14:textFill>
            <w14:solidFill>
              <w14:schemeClr w14:val="tx1"/>
            </w14:solidFill>
          </w14:textFill>
        </w:rPr>
        <w:t>3）</w:t>
      </w:r>
      <w:r>
        <w:rPr>
          <w:rFonts w:hint="eastAsia"/>
          <w:color w:val="000000" w:themeColor="text1"/>
          <w:kern w:val="0"/>
          <w:lang w:bidi="ar"/>
          <w14:textFill>
            <w14:solidFill>
              <w14:schemeClr w14:val="tx1"/>
            </w14:solidFill>
          </w14:textFill>
        </w:rPr>
        <w:t>设备锁定：关闭液压系统并卸压，切断非必要电源，锁定控制柜。</w:t>
      </w:r>
    </w:p>
    <w:p w14:paraId="13507536">
      <w:pPr>
        <w:widowControl/>
        <w:ind w:firstLine="480" w:firstLineChars="200"/>
        <w:rPr>
          <w:rFonts w:hint="eastAsia"/>
          <w:color w:val="000000" w:themeColor="text1"/>
          <w:kern w:val="0"/>
          <w:lang w:bidi="ar"/>
          <w14:textFill>
            <w14:solidFill>
              <w14:schemeClr w14:val="tx1"/>
            </w14:solidFill>
          </w14:textFill>
        </w:rPr>
      </w:pPr>
      <w:r>
        <w:rPr>
          <w:rFonts w:hint="eastAsia"/>
          <w:color w:val="000000" w:themeColor="text1"/>
          <w:kern w:val="0"/>
          <w:lang w:bidi="ar"/>
          <w14:textFill>
            <w14:solidFill>
              <w14:schemeClr w14:val="tx1"/>
            </w14:solidFill>
          </w14:textFill>
        </w:rPr>
        <w:t>停工转施工条件：恶劣天气结束或不可抗力因素消除，且经复工检查确认安全。</w:t>
      </w:r>
    </w:p>
    <w:p w14:paraId="6757DA2C">
      <w:pPr>
        <w:widowControl/>
        <w:rPr>
          <w:color w:val="000000" w:themeColor="text1"/>
          <w:kern w:val="0"/>
          <w:lang w:bidi="ar"/>
          <w14:textFill>
            <w14:solidFill>
              <w14:schemeClr w14:val="tx1"/>
            </w14:solidFill>
          </w14:textFill>
        </w:rPr>
      </w:pPr>
      <w:r>
        <w:rPr>
          <w:rFonts w:hint="eastAsia"/>
          <w:b/>
          <w:bCs/>
          <w:color w:val="000000" w:themeColor="text1"/>
          <w:kern w:val="0"/>
          <w:lang w:val="en-US" w:eastAsia="zh-CN" w:bidi="ar"/>
          <w14:textFill>
            <w14:solidFill>
              <w14:schemeClr w14:val="tx1"/>
            </w14:solidFill>
          </w14:textFill>
        </w:rPr>
        <w:t>10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2</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4</w:t>
      </w:r>
      <w:r>
        <w:rPr>
          <w:color w:val="000000" w:themeColor="text1"/>
          <w:kern w:val="0"/>
          <w:lang w:bidi="ar"/>
          <w14:textFill>
            <w14:solidFill>
              <w14:schemeClr w14:val="tx1"/>
            </w14:solidFill>
          </w14:textFill>
        </w:rPr>
        <w:t xml:space="preserve"> </w:t>
      </w:r>
      <w:r>
        <w:rPr>
          <w:rFonts w:hint="eastAsia"/>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施工</w:t>
      </w:r>
      <w:r>
        <w:rPr>
          <w:color w:val="000000" w:themeColor="text1"/>
          <w:kern w:val="0"/>
          <w:lang w:bidi="ar"/>
          <w14:textFill>
            <w14:solidFill>
              <w14:schemeClr w14:val="tx1"/>
            </w14:solidFill>
          </w14:textFill>
        </w:rPr>
        <w:t>↔</w:t>
      </w:r>
      <w:r>
        <w:rPr>
          <w:rFonts w:hint="eastAsia"/>
          <w:color w:val="000000" w:themeColor="text1"/>
          <w:kern w:val="0"/>
          <w:lang w:bidi="ar"/>
          <w14:textFill>
            <w14:solidFill>
              <w14:schemeClr w14:val="tx1"/>
            </w14:solidFill>
          </w14:textFill>
        </w:rPr>
        <w:t>应急工况转换：</w:t>
      </w:r>
    </w:p>
    <w:p w14:paraId="5C9A25D2">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val="en-US" w:eastAsia="zh-CN" w:bidi="ar"/>
          <w14:textFill>
            <w14:solidFill>
              <w14:schemeClr w14:val="tx1"/>
            </w14:solidFill>
          </w14:textFill>
        </w:rPr>
        <w:t>1</w:t>
      </w:r>
      <w:r>
        <w:rPr>
          <w:rFonts w:hint="eastAsia"/>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应急工况应在发生火灾、突然断电、结构异常变形、设备故障、人员伤亡等突发事件时立即启动。</w:t>
      </w:r>
    </w:p>
    <w:p w14:paraId="31E00844">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val="en-US" w:eastAsia="zh-CN" w:bidi="ar"/>
          <w14:textFill>
            <w14:solidFill>
              <w14:schemeClr w14:val="tx1"/>
            </w14:solidFill>
          </w14:textFill>
        </w:rPr>
        <w:t>2</w:t>
      </w:r>
      <w:r>
        <w:rPr>
          <w:rFonts w:hint="eastAsia"/>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转换与处置要点：</w:t>
      </w:r>
    </w:p>
    <w:p w14:paraId="5C649580">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eastAsia="zh-CN" w:bidi="ar"/>
          <w14:textFill>
            <w14:solidFill>
              <w14:schemeClr w14:val="tx1"/>
            </w14:solidFill>
          </w14:textFill>
        </w:rPr>
        <w:t>（</w:t>
      </w:r>
      <w:r>
        <w:rPr>
          <w:rFonts w:hint="eastAsia"/>
          <w:b/>
          <w:bCs/>
          <w:color w:val="000000" w:themeColor="text1"/>
          <w:kern w:val="0"/>
          <w:lang w:bidi="ar"/>
          <w14:textFill>
            <w14:solidFill>
              <w14:schemeClr w14:val="tx1"/>
            </w14:solidFill>
          </w14:textFill>
        </w:rPr>
        <w:t>1）</w:t>
      </w:r>
      <w:r>
        <w:rPr>
          <w:rFonts w:hint="eastAsia"/>
          <w:color w:val="000000" w:themeColor="text1"/>
          <w:kern w:val="0"/>
          <w:lang w:bidi="ar"/>
          <w14:textFill>
            <w14:solidFill>
              <w14:schemeClr w14:val="tx1"/>
            </w14:solidFill>
          </w14:textFill>
        </w:rPr>
        <w:t>火灾应急：立即切断电源，组织人员利用现场灭火器材进行初期灭火，同时疏散人员并报警。</w:t>
      </w:r>
    </w:p>
    <w:p w14:paraId="3D048BC5">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eastAsia="zh-CN" w:bidi="ar"/>
          <w14:textFill>
            <w14:solidFill>
              <w14:schemeClr w14:val="tx1"/>
            </w14:solidFill>
          </w14:textFill>
        </w:rPr>
        <w:t>（</w:t>
      </w:r>
      <w:r>
        <w:rPr>
          <w:rFonts w:hint="eastAsia"/>
          <w:b/>
          <w:bCs/>
          <w:color w:val="000000" w:themeColor="text1"/>
          <w:kern w:val="0"/>
          <w:lang w:bidi="ar"/>
          <w14:textFill>
            <w14:solidFill>
              <w14:schemeClr w14:val="tx1"/>
            </w14:solidFill>
          </w14:textFill>
        </w:rPr>
        <w:t>2）</w:t>
      </w:r>
      <w:r>
        <w:rPr>
          <w:rFonts w:hint="eastAsia"/>
          <w:color w:val="000000" w:themeColor="text1"/>
          <w:kern w:val="0"/>
          <w:lang w:bidi="ar"/>
          <w14:textFill>
            <w14:solidFill>
              <w14:schemeClr w14:val="tx1"/>
            </w14:solidFill>
          </w14:textFill>
        </w:rPr>
        <w:t>断电应急：利用UPS应急电源（持续供电≥30min）完成安全回退操作，将吊物缓慢放下，防止突然来电引发事故。</w:t>
      </w:r>
    </w:p>
    <w:p w14:paraId="3258B72A">
      <w:pPr>
        <w:widowControl/>
        <w:ind w:firstLine="482" w:firstLineChars="200"/>
        <w:rPr>
          <w:rFonts w:hint="eastAsia"/>
          <w:color w:val="000000" w:themeColor="text1"/>
          <w:kern w:val="0"/>
          <w:lang w:bidi="ar"/>
          <w14:textFill>
            <w14:solidFill>
              <w14:schemeClr w14:val="tx1"/>
            </w14:solidFill>
          </w14:textFill>
        </w:rPr>
      </w:pPr>
      <w:r>
        <w:rPr>
          <w:rFonts w:hint="eastAsia"/>
          <w:b/>
          <w:bCs/>
          <w:color w:val="000000" w:themeColor="text1"/>
          <w:kern w:val="0"/>
          <w:lang w:eastAsia="zh-CN" w:bidi="ar"/>
          <w14:textFill>
            <w14:solidFill>
              <w14:schemeClr w14:val="tx1"/>
            </w14:solidFill>
          </w14:textFill>
        </w:rPr>
        <w:t>（</w:t>
      </w:r>
      <w:r>
        <w:rPr>
          <w:rFonts w:hint="eastAsia"/>
          <w:b/>
          <w:bCs/>
          <w:color w:val="000000" w:themeColor="text1"/>
          <w:kern w:val="0"/>
          <w:lang w:bidi="ar"/>
          <w14:textFill>
            <w14:solidFill>
              <w14:schemeClr w14:val="tx1"/>
            </w14:solidFill>
          </w14:textFill>
        </w:rPr>
        <w:t>3）</w:t>
      </w:r>
      <w:r>
        <w:rPr>
          <w:rFonts w:hint="eastAsia"/>
          <w:color w:val="000000" w:themeColor="text1"/>
          <w:kern w:val="0"/>
          <w:lang w:bidi="ar"/>
          <w14:textFill>
            <w14:solidFill>
              <w14:schemeClr w14:val="tx1"/>
            </w14:solidFill>
          </w14:textFill>
        </w:rPr>
        <w:t>结构异常应急：一旦监测预警系统发出超限报警，应立即停止一切作业，查明原因并采取处置措施后方可恢复。</w:t>
      </w:r>
    </w:p>
    <w:p w14:paraId="26763012">
      <w:pPr>
        <w:pageBreakBefore w:val="0"/>
        <w:widowControl/>
        <w:kinsoku/>
        <w:wordWrap/>
        <w:overflowPunct/>
        <w:topLinePunct w:val="0"/>
        <w:bidi w:val="0"/>
        <w:spacing w:line="360" w:lineRule="auto"/>
        <w:ind w:firstLine="482" w:firstLineChars="200"/>
        <w:rPr>
          <w:rFonts w:hint="default" w:ascii="Times New Roman" w:hAnsi="Times New Roman" w:eastAsia="宋体" w:cs="Times New Roman"/>
          <w:color w:val="000000" w:themeColor="text1"/>
          <w:kern w:val="0"/>
          <w:lang w:val="en-US" w:eastAsia="zh-CN" w:bidi="ar"/>
          <w14:textFill>
            <w14:solidFill>
              <w14:schemeClr w14:val="tx1"/>
            </w14:solidFill>
          </w14:textFill>
        </w:rPr>
      </w:pPr>
      <w:r>
        <w:rPr>
          <w:rFonts w:hint="eastAsia" w:cs="Times New Roman"/>
          <w:b/>
          <w:bCs/>
          <w:color w:val="000000" w:themeColor="text1"/>
          <w:kern w:val="0"/>
          <w:lang w:val="en-US" w:eastAsia="zh-CN" w:bidi="ar"/>
          <w14:textFill>
            <w14:solidFill>
              <w14:schemeClr w14:val="tx1"/>
            </w14:solidFill>
          </w14:textFill>
        </w:rPr>
        <w:t>3</w:t>
      </w:r>
      <w:r>
        <w:rPr>
          <w:rFonts w:hint="eastAsia" w:cs="Times New Roman"/>
          <w:color w:val="000000" w:themeColor="text1"/>
          <w:kern w:val="0"/>
          <w:lang w:val="en-US" w:eastAsia="zh-CN" w:bidi="ar"/>
          <w14:textFill>
            <w14:solidFill>
              <w14:schemeClr w14:val="tx1"/>
            </w14:solidFill>
          </w14:textFill>
        </w:rPr>
        <w:t xml:space="preserve">  </w:t>
      </w:r>
      <w:r>
        <w:rPr>
          <w:rFonts w:hint="eastAsia" w:ascii="Times New Roman" w:hAnsi="Times New Roman" w:eastAsia="宋体" w:cs="Times New Roman"/>
          <w:color w:val="000000" w:themeColor="text1"/>
          <w:kern w:val="0"/>
          <w:lang w:val="en-US" w:eastAsia="zh-CN" w:bidi="ar"/>
          <w14:textFill>
            <w14:solidFill>
              <w14:schemeClr w14:val="tx1"/>
            </w14:solidFill>
          </w14:textFill>
        </w:rPr>
        <w:t>触发应急工况后，应立即停止所有顶升、施工作业，疏散平台作业人员；除应急处置作业外，禁止任何施工作业；故障未处置闭环，不得转回施工/顶升工况。</w:t>
      </w:r>
    </w:p>
    <w:p w14:paraId="4425D9AF">
      <w:pPr>
        <w:widowControl/>
        <w:ind w:firstLine="480" w:firstLineChars="200"/>
        <w:rPr>
          <w:rFonts w:hint="eastAsia"/>
          <w:color w:val="000000" w:themeColor="text1"/>
          <w:kern w:val="0"/>
          <w:lang w:bidi="ar"/>
          <w14:textFill>
            <w14:solidFill>
              <w14:schemeClr w14:val="tx1"/>
            </w14:solidFill>
          </w14:textFill>
        </w:rPr>
      </w:pPr>
    </w:p>
    <w:p w14:paraId="60A8CC66">
      <w:pPr>
        <w:pStyle w:val="3"/>
        <w:bidi w:val="0"/>
        <w:rPr>
          <w:rFonts w:hint="eastAsia"/>
          <w:b/>
          <w:bCs/>
          <w:color w:val="000000" w:themeColor="text1"/>
          <w:kern w:val="0"/>
          <w:lang w:bidi="ar"/>
          <w14:textFill>
            <w14:solidFill>
              <w14:schemeClr w14:val="tx1"/>
            </w14:solidFill>
          </w14:textFill>
        </w:rPr>
      </w:pPr>
      <w:bookmarkStart w:id="180" w:name="_Toc6610"/>
      <w:r>
        <w:rPr>
          <w:rFonts w:hint="eastAsia"/>
          <w:color w:val="000000" w:themeColor="text1"/>
          <w:lang w:val="en-US" w:eastAsia="zh-CN"/>
          <w14:textFill>
            <w14:solidFill>
              <w14:schemeClr w14:val="tx1"/>
            </w14:solidFill>
          </w14:textFill>
        </w:rPr>
        <w:t>10</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荷载管控</w:t>
      </w:r>
      <w:bookmarkEnd w:id="180"/>
    </w:p>
    <w:p w14:paraId="35572D78">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3</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 xml:space="preserve">  </w:t>
      </w:r>
      <w:r>
        <w:rPr>
          <w:rFonts w:hint="eastAsia"/>
          <w:color w:val="000000" w:themeColor="text1"/>
          <w14:textFill>
            <w14:solidFill>
              <w14:schemeClr w14:val="tx1"/>
            </w14:solidFill>
          </w14:textFill>
        </w:rPr>
        <w:t>集成平台的荷载管控应贯穿设计、施工、顶升全过程，涵盖平台自重荷载（含挂架、模板、设备设施）、施工活荷载、风荷载等各类荷载的实时监控与管理。荷载管控应满足承载能力极限状态和正常使用极限状态的双重要求。</w:t>
      </w:r>
    </w:p>
    <w:p w14:paraId="1E238A6E">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3</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2</w:t>
      </w:r>
      <w:r>
        <w:rPr>
          <w:b/>
          <w:bCs/>
          <w:color w:val="000000" w:themeColor="text1"/>
          <w:kern w:val="0"/>
          <w:lang w:bidi="ar"/>
          <w14:textFill>
            <w14:solidFill>
              <w14:schemeClr w14:val="tx1"/>
            </w14:solidFill>
          </w14:textFill>
        </w:rPr>
        <w:t xml:space="preserve">  </w:t>
      </w:r>
      <w:r>
        <w:rPr>
          <w:rFonts w:hint="eastAsia"/>
          <w:color w:val="000000" w:themeColor="text1"/>
          <w14:textFill>
            <w14:solidFill>
              <w14:schemeClr w14:val="tx1"/>
            </w14:solidFill>
          </w14:textFill>
        </w:rPr>
        <w:t>实时荷载控制</w:t>
      </w:r>
    </w:p>
    <w:p w14:paraId="59222EC7">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实时荷载不应超过额定荷载的80%；当整机实时荷载达到额定荷载的80%时，系统应自动发出声光报警，当整机实时荷载达到额定荷载的100%时，系统应自动停机并锁定。荷载监控数据应实时显示在控制台，并自动记录存档。荷载传感器（拉压传感器）应实时监测各支承柱的荷载变化，具有失载、超载报警、停机和自动调整控制等功能。排查原因并采取处置措施后方可恢复。</w:t>
      </w:r>
    </w:p>
    <w:p w14:paraId="25AF19D4">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3</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3</w:t>
      </w:r>
      <w:r>
        <w:rPr>
          <w:b/>
          <w:bCs/>
          <w:color w:val="000000" w:themeColor="text1"/>
          <w:kern w:val="0"/>
          <w:lang w:bidi="ar"/>
          <w14:textFill>
            <w14:solidFill>
              <w14:schemeClr w14:val="tx1"/>
            </w14:solidFill>
          </w14:textFill>
        </w:rPr>
        <w:t xml:space="preserve">  </w:t>
      </w:r>
      <w:r>
        <w:rPr>
          <w:rFonts w:hint="eastAsia"/>
          <w:color w:val="000000" w:themeColor="text1"/>
          <w14:textFill>
            <w14:solidFill>
              <w14:schemeClr w14:val="tx1"/>
            </w14:solidFill>
          </w14:textFill>
        </w:rPr>
        <w:t>偏载限制：</w:t>
      </w:r>
    </w:p>
    <w:p w14:paraId="5FA4D5CC">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钢平台顶部堆载应均匀布置，避免集中堆放。各支点荷载不均匀系数不应超过1.3，不同步顶升可能加剧结构内力不均匀分布，造成局部受力急剧增大。</w:t>
      </w:r>
    </w:p>
    <w:p w14:paraId="62138FAD">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当某一支点荷载超过设计值的115%时，系统应自动报警并显示报警机位；超过130%时应使该升降设备自动停机，排查原因并采取处置措施后方可恢复。</w:t>
      </w:r>
    </w:p>
    <w:p w14:paraId="36AEDA92">
      <w:pPr>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工况荷载取值：</w:t>
      </w:r>
    </w:p>
    <w:p w14:paraId="0D45A34E">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集成平台在作业状态、顶升状态及停工状态的荷载取值应满足设计要求。顶升状态下钢平台顶部及挂架内部严禁堆载，仅允许少量必要施工机具随平台同步顶升。施工活荷载标准值取值应符合《建筑结构荷载规范》GB 50009相关规定。</w:t>
      </w:r>
    </w:p>
    <w:p w14:paraId="19F695B0">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3</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4</w:t>
      </w:r>
      <w:r>
        <w:rPr>
          <w:b/>
          <w:bCs/>
          <w:color w:val="000000" w:themeColor="text1"/>
          <w:kern w:val="0"/>
          <w:lang w:bidi="ar"/>
          <w14:textFill>
            <w14:solidFill>
              <w14:schemeClr w14:val="tx1"/>
            </w14:solidFill>
          </w14:textFill>
        </w:rPr>
        <w:t xml:space="preserve">  </w:t>
      </w:r>
      <w:r>
        <w:rPr>
          <w:rFonts w:hint="eastAsia"/>
          <w:color w:val="000000" w:themeColor="text1"/>
          <w14:textFill>
            <w14:solidFill>
              <w14:schemeClr w14:val="tx1"/>
            </w14:solidFill>
          </w14:textFill>
        </w:rPr>
        <w:t>荷载监控系统要求</w:t>
      </w:r>
    </w:p>
    <w:p w14:paraId="7541CA64">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荷载监控系统应具备声光报警及报警机位显示功能、自身故障报警功能，控制精度应在5%以内，性能应可靠、稳定。监控系统应能适应施工现场环境，具备防雨、防砸、防尘、防混凝土污染措施。</w:t>
      </w:r>
    </w:p>
    <w:p w14:paraId="31430D3B">
      <w:pPr>
        <w:pStyle w:val="3"/>
        <w:bidi w:val="0"/>
        <w:rPr>
          <w:rFonts w:hint="eastAsia"/>
          <w:b/>
          <w:bCs/>
          <w:color w:val="000000" w:themeColor="text1"/>
          <w:kern w:val="0"/>
          <w:lang w:bidi="ar"/>
          <w14:textFill>
            <w14:solidFill>
              <w14:schemeClr w14:val="tx1"/>
            </w14:solidFill>
          </w14:textFill>
        </w:rPr>
      </w:pPr>
      <w:bookmarkStart w:id="181" w:name="_Toc26908"/>
      <w:r>
        <w:rPr>
          <w:rFonts w:hint="eastAsia"/>
          <w:color w:val="000000" w:themeColor="text1"/>
          <w:lang w:val="en-US" w:eastAsia="zh-CN"/>
          <w14:textFill>
            <w14:solidFill>
              <w14:schemeClr w14:val="tx1"/>
            </w14:solidFill>
          </w14:textFill>
        </w:rPr>
        <w:t>10</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限位与安全保护</w:t>
      </w:r>
      <w:bookmarkEnd w:id="181"/>
    </w:p>
    <w:p w14:paraId="614552AD">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4</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 xml:space="preserve">  </w:t>
      </w:r>
      <w:r>
        <w:rPr>
          <w:rFonts w:hint="eastAsia"/>
          <w:color w:val="000000" w:themeColor="text1"/>
          <w14:textFill>
            <w14:solidFill>
              <w14:schemeClr w14:val="tx1"/>
            </w14:solidFill>
          </w14:textFill>
        </w:rPr>
        <w:t>行程限位</w:t>
      </w:r>
    </w:p>
    <w:p w14:paraId="0B45591B">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顶升油缸应设置上、下行程限位开关，到达极限位置时应自动停止。</w:t>
      </w:r>
    </w:p>
    <w:p w14:paraId="7269D819">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液压缸应设置双向液压锁，确保在失压时能自动锁定。</w:t>
      </w:r>
    </w:p>
    <w:p w14:paraId="47C4F517">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4</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2</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风速管控</w:t>
      </w:r>
    </w:p>
    <w:p w14:paraId="20C13F7A">
      <w:pPr>
        <w:widowControl/>
        <w:ind w:firstLine="480" w:firstLineChars="200"/>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集成平台风速管控应符合本指南3.0.6条及表3.0.6的规定，并按下列分级执行：</w:t>
      </w:r>
    </w:p>
    <w:p w14:paraId="43E5FA45">
      <w:pPr>
        <w:widowControl/>
        <w:ind w:firstLine="480" w:firstLineChars="200"/>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1  风速达到6级（10.8m/s）及以上时，应发布预警并暂停顶升、提升作业准备；</w:t>
      </w:r>
    </w:p>
    <w:p w14:paraId="787B3B53">
      <w:pPr>
        <w:widowControl/>
        <w:ind w:firstLine="480" w:firstLineChars="200"/>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2  风速达到6级（12m/s）及以上时，应停止拆除作业；</w:t>
      </w:r>
    </w:p>
    <w:p w14:paraId="4792BF04">
      <w:pPr>
        <w:widowControl/>
        <w:ind w:firstLine="480" w:firstLineChars="200"/>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3  风速达到8级（20m/s）及以上时，应停止一切施工作业，进入停工状态；</w:t>
      </w:r>
    </w:p>
    <w:p w14:paraId="2478D561">
      <w:pPr>
        <w:widowControl/>
        <w:ind w:firstLine="480" w:firstLineChars="200"/>
        <w:rPr>
          <w:rFonts w:hint="eastAsia"/>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4  停工阶段风速超过设计允许值（按50年重现期风荷载验算）时，应对集成平台采取稳固性措施。</w:t>
      </w:r>
    </w:p>
    <w:p w14:paraId="4A9A3F2B">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4</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3</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防坠防倾</w:t>
      </w:r>
    </w:p>
    <w:p w14:paraId="3A802D85">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防坠装置在升降和使用工况下均应起作用，制动距离不应大于150mm。</w:t>
      </w:r>
    </w:p>
    <w:p w14:paraId="1D2164C2">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防倾装置应灵敏可靠，导向间隙不应大于5mm。</w:t>
      </w:r>
    </w:p>
    <w:p w14:paraId="4DC0D8B5">
      <w:pPr>
        <w:pStyle w:val="3"/>
        <w:bidi w:val="0"/>
        <w:rPr>
          <w:rFonts w:hint="eastAsia"/>
          <w:b/>
          <w:bCs/>
          <w:color w:val="000000" w:themeColor="text1"/>
          <w:kern w:val="0"/>
          <w:lang w:bidi="ar"/>
          <w14:textFill>
            <w14:solidFill>
              <w14:schemeClr w14:val="tx1"/>
            </w14:solidFill>
          </w14:textFill>
        </w:rPr>
      </w:pPr>
      <w:bookmarkStart w:id="182" w:name="_Toc23703"/>
      <w:r>
        <w:rPr>
          <w:rFonts w:hint="eastAsia"/>
          <w:color w:val="000000" w:themeColor="text1"/>
          <w:lang w:val="en-US" w:eastAsia="zh-CN"/>
          <w14:textFill>
            <w14:solidFill>
              <w14:schemeClr w14:val="tx1"/>
            </w14:solidFill>
          </w14:textFill>
        </w:rPr>
        <w:t>10</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日常巡检与定期维护</w:t>
      </w:r>
      <w:bookmarkEnd w:id="182"/>
    </w:p>
    <w:p w14:paraId="3895A093">
      <w:pPr>
        <w:rPr>
          <w:rFonts w:hint="default" w:eastAsia="宋体"/>
          <w:b/>
          <w:bCs/>
          <w:color w:val="000000" w:themeColor="text1"/>
          <w:kern w:val="0"/>
          <w:lang w:val="en-US" w:eastAsia="zh-CN" w:bidi="ar"/>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 xml:space="preserve">  </w:t>
      </w:r>
      <w:r>
        <w:rPr>
          <w:rFonts w:hint="eastAsia"/>
          <w:b w:val="0"/>
          <w:bCs w:val="0"/>
          <w:color w:val="000000" w:themeColor="text1"/>
          <w:kern w:val="0"/>
          <w:lang w:val="en-US" w:eastAsia="zh-CN" w:bidi="ar"/>
          <w14:textFill>
            <w14:solidFill>
              <w14:schemeClr w14:val="tx1"/>
            </w14:solidFill>
          </w14:textFill>
        </w:rPr>
        <w:t>一般规定</w:t>
      </w:r>
    </w:p>
    <w:p w14:paraId="44082BF1">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集成平台每次顶升前、顶升过程、顶升后均应进行巡检并留存巡检记录。</w:t>
      </w:r>
    </w:p>
    <w:p w14:paraId="166AC698">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集成平台的维护应包括日常维护和定期检查，定期检查每月一次，并应留存检查维护记录。</w:t>
      </w:r>
    </w:p>
    <w:p w14:paraId="3BC3C838">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color w:val="000000" w:themeColor="text1"/>
          <w14:textFill>
            <w14:solidFill>
              <w14:schemeClr w14:val="tx1"/>
            </w14:solidFill>
          </w14:textFill>
        </w:rPr>
        <w:t xml:space="preserve">  应对集成平台受力构件及其连接节点、液压管路、电控装置、液压油缸、阀件、安全防护设施、防雷装置、防倾覆装置、防坠装置、重要的拓展集成设施设备等每月进行一次检查。</w:t>
      </w:r>
    </w:p>
    <w:p w14:paraId="4F3017A7">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4</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遇恶劣天气、地震等原因导致集成平台停止使用，或其他原因导致集成平台停止使用1个月以上，恢复施工前应对集成平台重新检查验收，验收合格并进行试顶升后方可投入使用。</w:t>
      </w:r>
    </w:p>
    <w:p w14:paraId="5894CDF9">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5</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拓展集成设施设备的维护应按设备厂家说明书的有关规 定执行，对于定制加工的设施设备应按照设计要求或方案要求执行。</w:t>
      </w:r>
    </w:p>
    <w:p w14:paraId="0F9AAAD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6</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项目应建立集成平台日常维护及定期检查制度，明确检查内容、周期、责任人、问题处理流程等内容。</w:t>
      </w:r>
    </w:p>
    <w:p w14:paraId="2006A25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7</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定期检查是指对集成平台各系统进行全面检查，包括连接节点、液压管路、电控装置、液压油缸、阀件、安全防护设施、防雷装置、防倾覆装置、防坠装置、重要的拓展集成设施设备等。</w:t>
      </w:r>
    </w:p>
    <w:p w14:paraId="6B07F0E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8</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恶劣天气、地震等原因导致集成平台停止使用，或其他原因导致集成平台停止使用1个月以上，可能造成集成平台构件松动、安全防护损坏或缺失、构件腐蚀以及电控装置失效等情况，在启用前应对集成平台重新检查 验收，验收合格后方可继续使用。</w:t>
      </w:r>
    </w:p>
    <w:p w14:paraId="562BB8E5">
      <w:pPr>
        <w:widowControl/>
        <w:shd w:val="clear"/>
        <w:rPr>
          <w:rFonts w:hint="eastAsia"/>
          <w:color w:val="000000" w:themeColor="text1"/>
          <w:highlight w:val="none"/>
          <w14:textFill>
            <w14:solidFill>
              <w14:schemeClr w14:val="tx1"/>
            </w14:solidFill>
          </w14:textFill>
        </w:rPr>
      </w:pPr>
      <w:r>
        <w:rPr>
          <w:rFonts w:hint="eastAsia"/>
          <w:b/>
          <w:bCs/>
          <w:color w:val="000000" w:themeColor="text1"/>
          <w:kern w:val="0"/>
          <w:highlight w:val="none"/>
          <w:lang w:bidi="ar"/>
          <w14:textFill>
            <w14:solidFill>
              <w14:schemeClr w14:val="tx1"/>
            </w14:solidFill>
          </w14:textFill>
        </w:rPr>
        <w:t>1</w:t>
      </w:r>
      <w:r>
        <w:rPr>
          <w:rFonts w:hint="eastAsia"/>
          <w:b/>
          <w:bCs/>
          <w:color w:val="000000" w:themeColor="text1"/>
          <w:kern w:val="0"/>
          <w:highlight w:val="none"/>
          <w:lang w:val="en-US" w:eastAsia="zh-CN" w:bidi="ar"/>
          <w14:textFill>
            <w14:solidFill>
              <w14:schemeClr w14:val="tx1"/>
            </w14:solidFill>
          </w14:textFill>
        </w:rPr>
        <w:t>0</w:t>
      </w:r>
      <w:r>
        <w:rPr>
          <w:b/>
          <w:bCs/>
          <w:color w:val="000000" w:themeColor="text1"/>
          <w:kern w:val="0"/>
          <w:highlight w:val="none"/>
          <w:lang w:bidi="ar"/>
          <w14:textFill>
            <w14:solidFill>
              <w14:schemeClr w14:val="tx1"/>
            </w14:solidFill>
          </w14:textFill>
        </w:rPr>
        <w:t>.</w:t>
      </w:r>
      <w:r>
        <w:rPr>
          <w:rFonts w:hint="eastAsia"/>
          <w:b/>
          <w:bCs/>
          <w:color w:val="000000" w:themeColor="text1"/>
          <w:kern w:val="0"/>
          <w:highlight w:val="none"/>
          <w:lang w:val="en-US" w:eastAsia="zh-CN" w:bidi="ar"/>
          <w14:textFill>
            <w14:solidFill>
              <w14:schemeClr w14:val="tx1"/>
            </w14:solidFill>
          </w14:textFill>
        </w:rPr>
        <w:t>5</w:t>
      </w:r>
      <w:r>
        <w:rPr>
          <w:b/>
          <w:bCs/>
          <w:color w:val="000000" w:themeColor="text1"/>
          <w:kern w:val="0"/>
          <w:highlight w:val="none"/>
          <w:lang w:bidi="ar"/>
          <w14:textFill>
            <w14:solidFill>
              <w14:schemeClr w14:val="tx1"/>
            </w14:solidFill>
          </w14:textFill>
        </w:rPr>
        <w:t>.</w:t>
      </w:r>
      <w:r>
        <w:rPr>
          <w:rFonts w:hint="eastAsia"/>
          <w:b/>
          <w:bCs/>
          <w:color w:val="000000" w:themeColor="text1"/>
          <w:kern w:val="0"/>
          <w:highlight w:val="none"/>
          <w:lang w:val="en-US" w:eastAsia="zh-CN" w:bidi="ar"/>
          <w14:textFill>
            <w14:solidFill>
              <w14:schemeClr w14:val="tx1"/>
            </w14:solidFill>
          </w14:textFill>
        </w:rPr>
        <w:t>2</w:t>
      </w:r>
      <w:r>
        <w:rPr>
          <w:b/>
          <w:bCs/>
          <w:color w:val="000000" w:themeColor="text1"/>
          <w:kern w:val="0"/>
          <w:highlight w:val="none"/>
          <w:lang w:bidi="ar"/>
          <w14:textFill>
            <w14:solidFill>
              <w14:schemeClr w14:val="tx1"/>
            </w14:solidFill>
          </w14:textFill>
        </w:rPr>
        <w:t xml:space="preserve">  </w:t>
      </w:r>
      <w:r>
        <w:rPr>
          <w:rFonts w:hint="eastAsia"/>
          <w:color w:val="000000" w:themeColor="text1"/>
          <w:highlight w:val="none"/>
          <w14:textFill>
            <w14:solidFill>
              <w14:schemeClr w14:val="tx1"/>
            </w14:solidFill>
          </w14:textFill>
        </w:rPr>
        <w:t>关键部件更换周期</w:t>
      </w:r>
    </w:p>
    <w:p w14:paraId="040ACF74">
      <w:pPr>
        <w:keepNext w:val="0"/>
        <w:keepLines w:val="0"/>
        <w:pageBreakBefore w:val="0"/>
        <w:widowControl/>
        <w:shd w:val="clear"/>
        <w:kinsoku/>
        <w:wordWrap/>
        <w:overflowPunct/>
        <w:topLinePunct w:val="0"/>
        <w:autoSpaceDE/>
        <w:autoSpaceDN/>
        <w:bidi w:val="0"/>
        <w:adjustRightInd/>
        <w:snapToGrid/>
        <w:ind w:firstLine="482" w:firstLineChars="200"/>
        <w:textAlignment w:val="auto"/>
        <w:rPr>
          <w:rFonts w:hint="eastAsia"/>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首次使用后3个月更换，之后每6~12个月或油品检测不合格时更换。</w:t>
      </w:r>
    </w:p>
    <w:p w14:paraId="0CE55430">
      <w:pPr>
        <w:keepNext w:val="0"/>
        <w:keepLines w:val="0"/>
        <w:pageBreakBefore w:val="0"/>
        <w:widowControl/>
        <w:shd w:val="clear"/>
        <w:kinsoku/>
        <w:wordWrap/>
        <w:overflowPunct/>
        <w:topLinePunct w:val="0"/>
        <w:autoSpaceDE/>
        <w:autoSpaceDN/>
        <w:bidi w:val="0"/>
        <w:adjustRightInd/>
        <w:snapToGrid/>
        <w:ind w:firstLine="482" w:firstLineChars="200"/>
        <w:textAlignment w:val="auto"/>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密封件每2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3年或出现泄漏迹象时更换。</w:t>
      </w:r>
    </w:p>
    <w:p w14:paraId="05895AB8">
      <w:pPr>
        <w:keepNext w:val="0"/>
        <w:keepLines w:val="0"/>
        <w:pageBreakBefore w:val="0"/>
        <w:widowControl/>
        <w:shd w:val="clear"/>
        <w:kinsoku/>
        <w:wordWrap/>
        <w:overflowPunct/>
        <w:topLinePunct w:val="0"/>
        <w:autoSpaceDE/>
        <w:autoSpaceDN/>
        <w:bidi w:val="0"/>
        <w:adjustRightInd/>
        <w:snapToGrid/>
        <w:ind w:firstLine="482" w:firstLineChars="200"/>
        <w:textAlignment w:val="auto"/>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传感器每3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5年或校准不合格时更换。</w:t>
      </w:r>
    </w:p>
    <w:p w14:paraId="0394ED04">
      <w:pPr>
        <w:keepNext w:val="0"/>
        <w:keepLines w:val="0"/>
        <w:pageBreakBefore w:val="0"/>
        <w:widowControl/>
        <w:shd w:val="clear"/>
        <w:kinsoku/>
        <w:wordWrap/>
        <w:overflowPunct/>
        <w:topLinePunct w:val="0"/>
        <w:autoSpaceDE/>
        <w:autoSpaceDN/>
        <w:bidi w:val="0"/>
        <w:adjustRightInd/>
        <w:snapToGrid/>
        <w:ind w:firstLine="482" w:firstLineChars="200"/>
        <w:textAlignment w:val="auto"/>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电气元件每5年或出现老化、故障时更换。</w:t>
      </w:r>
    </w:p>
    <w:p w14:paraId="5CF492FB">
      <w:pPr>
        <w:keepNext w:val="0"/>
        <w:keepLines w:val="0"/>
        <w:pageBreakBefore w:val="0"/>
        <w:widowControl/>
        <w:shd w:val="clear"/>
        <w:kinsoku/>
        <w:wordWrap/>
        <w:overflowPunct/>
        <w:topLinePunct w:val="0"/>
        <w:autoSpaceDE/>
        <w:autoSpaceDN/>
        <w:bidi w:val="0"/>
        <w:adjustRightInd/>
        <w:snapToGrid/>
        <w:ind w:firstLine="482" w:firstLineChars="200"/>
        <w:textAlignment w:val="auto"/>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钢丝绳按《起重机钢丝绳保养、维护、安装、检验和报废》GB/T5972标准执行，达到报废标准时应立即更换。</w:t>
      </w:r>
    </w:p>
    <w:p w14:paraId="77C90B7D">
      <w:pPr>
        <w:shd w:val="clear"/>
        <w:rPr>
          <w:rFonts w:hint="default" w:eastAsia="宋体"/>
          <w:b/>
          <w:bCs/>
          <w:color w:val="000000" w:themeColor="text1"/>
          <w:kern w:val="0"/>
          <w:highlight w:val="none"/>
          <w:lang w:val="en-US" w:eastAsia="zh-CN" w:bidi="ar"/>
          <w14:textFill>
            <w14:solidFill>
              <w14:schemeClr w14:val="tx1"/>
            </w14:solidFill>
          </w14:textFill>
        </w:rPr>
      </w:pPr>
      <w:r>
        <w:rPr>
          <w:rFonts w:hint="eastAsia"/>
          <w:b/>
          <w:bCs/>
          <w:color w:val="000000" w:themeColor="text1"/>
          <w:kern w:val="0"/>
          <w:highlight w:val="none"/>
          <w:lang w:bidi="ar"/>
          <w14:textFill>
            <w14:solidFill>
              <w14:schemeClr w14:val="tx1"/>
            </w14:solidFill>
          </w14:textFill>
        </w:rPr>
        <w:t>1</w:t>
      </w:r>
      <w:r>
        <w:rPr>
          <w:rFonts w:hint="eastAsia"/>
          <w:b/>
          <w:bCs/>
          <w:color w:val="000000" w:themeColor="text1"/>
          <w:kern w:val="0"/>
          <w:highlight w:val="none"/>
          <w:lang w:val="en-US" w:eastAsia="zh-CN" w:bidi="ar"/>
          <w14:textFill>
            <w14:solidFill>
              <w14:schemeClr w14:val="tx1"/>
            </w14:solidFill>
          </w14:textFill>
        </w:rPr>
        <w:t>0</w:t>
      </w:r>
      <w:r>
        <w:rPr>
          <w:b/>
          <w:bCs/>
          <w:color w:val="000000" w:themeColor="text1"/>
          <w:kern w:val="0"/>
          <w:highlight w:val="none"/>
          <w:lang w:bidi="ar"/>
          <w14:textFill>
            <w14:solidFill>
              <w14:schemeClr w14:val="tx1"/>
            </w14:solidFill>
          </w14:textFill>
        </w:rPr>
        <w:t>.</w:t>
      </w:r>
      <w:r>
        <w:rPr>
          <w:rFonts w:hint="eastAsia"/>
          <w:b/>
          <w:bCs/>
          <w:color w:val="000000" w:themeColor="text1"/>
          <w:kern w:val="0"/>
          <w:highlight w:val="none"/>
          <w:lang w:val="en-US" w:eastAsia="zh-CN" w:bidi="ar"/>
          <w14:textFill>
            <w14:solidFill>
              <w14:schemeClr w14:val="tx1"/>
            </w14:solidFill>
          </w14:textFill>
        </w:rPr>
        <w:t>5</w:t>
      </w:r>
      <w:r>
        <w:rPr>
          <w:b/>
          <w:bCs/>
          <w:color w:val="000000" w:themeColor="text1"/>
          <w:kern w:val="0"/>
          <w:highlight w:val="none"/>
          <w:lang w:bidi="ar"/>
          <w14:textFill>
            <w14:solidFill>
              <w14:schemeClr w14:val="tx1"/>
            </w14:solidFill>
          </w14:textFill>
        </w:rPr>
        <w:t>.</w:t>
      </w:r>
      <w:r>
        <w:rPr>
          <w:rFonts w:hint="eastAsia"/>
          <w:b/>
          <w:bCs/>
          <w:color w:val="000000" w:themeColor="text1"/>
          <w:kern w:val="0"/>
          <w:highlight w:val="none"/>
          <w:lang w:val="en-US" w:eastAsia="zh-CN" w:bidi="ar"/>
          <w14:textFill>
            <w14:solidFill>
              <w14:schemeClr w14:val="tx1"/>
            </w14:solidFill>
          </w14:textFill>
        </w:rPr>
        <w:t>3</w:t>
      </w:r>
      <w:r>
        <w:rPr>
          <w:b/>
          <w:bCs/>
          <w:color w:val="000000" w:themeColor="text1"/>
          <w:kern w:val="0"/>
          <w:highlight w:val="none"/>
          <w:lang w:bidi="ar"/>
          <w14:textFill>
            <w14:solidFill>
              <w14:schemeClr w14:val="tx1"/>
            </w14:solidFill>
          </w14:textFill>
        </w:rPr>
        <w:t xml:space="preserve">  </w:t>
      </w:r>
      <w:r>
        <w:rPr>
          <w:rFonts w:hint="eastAsia"/>
          <w:b/>
          <w:bCs/>
          <w:color w:val="000000" w:themeColor="text1"/>
          <w:kern w:val="0"/>
          <w:highlight w:val="none"/>
          <w:lang w:val="en-US" w:eastAsia="zh-CN" w:bidi="ar"/>
          <w14:textFill>
            <w14:solidFill>
              <w14:schemeClr w14:val="tx1"/>
            </w14:solidFill>
          </w14:textFill>
        </w:rPr>
        <w:t>大修管理</w:t>
      </w:r>
    </w:p>
    <w:p w14:paraId="3F606265">
      <w:pPr>
        <w:keepNext w:val="0"/>
        <w:keepLines w:val="0"/>
        <w:pageBreakBefore w:val="0"/>
        <w:widowControl w:val="0"/>
        <w:shd w:val="clear"/>
        <w:kinsoku/>
        <w:wordWrap/>
        <w:overflowPunct/>
        <w:topLinePunct w:val="0"/>
        <w:autoSpaceDE/>
        <w:autoSpaceDN/>
        <w:bidi w:val="0"/>
        <w:adjustRightInd/>
        <w:snapToGrid/>
        <w:ind w:firstLine="482" w:firstLineChars="200"/>
        <w:textAlignment w:val="auto"/>
        <w:rPr>
          <w:rFonts w:hint="eastAsia"/>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大修周期宜为3～5年或累计运行8000小时。</w:t>
      </w:r>
    </w:p>
    <w:p w14:paraId="0914C98C">
      <w:pPr>
        <w:keepNext w:val="0"/>
        <w:keepLines w:val="0"/>
        <w:pageBreakBefore w:val="0"/>
        <w:widowControl w:val="0"/>
        <w:shd w:val="clear"/>
        <w:kinsoku/>
        <w:wordWrap/>
        <w:overflowPunct/>
        <w:topLinePunct w:val="0"/>
        <w:autoSpaceDE/>
        <w:autoSpaceDN/>
        <w:bidi w:val="0"/>
        <w:adjustRightInd/>
        <w:snapToGrid/>
        <w:ind w:firstLine="482" w:firstLineChars="200"/>
        <w:textAlignment w:val="auto"/>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大修时应委托有资质的检测机构对主要受力构件的强度、刚度、疲劳性能进行检测评估。</w:t>
      </w:r>
    </w:p>
    <w:p w14:paraId="02BDF88C">
      <w:pPr>
        <w:keepNext w:val="0"/>
        <w:keepLines w:val="0"/>
        <w:pageBreakBefore w:val="0"/>
        <w:widowControl w:val="0"/>
        <w:shd w:val="clear"/>
        <w:kinsoku/>
        <w:wordWrap/>
        <w:overflowPunct/>
        <w:topLinePunct w:val="0"/>
        <w:autoSpaceDE/>
        <w:autoSpaceDN/>
        <w:bidi w:val="0"/>
        <w:adjustRightInd/>
        <w:snapToGrid/>
        <w:ind w:firstLine="482" w:firstLineChars="200"/>
        <w:textAlignment w:val="auto"/>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应对液压泵站、油缸、阀组进行全面解体检查、清洗和更换老化密封件。</w:t>
      </w:r>
    </w:p>
    <w:p w14:paraId="52DD0C14">
      <w:pPr>
        <w:keepNext w:val="0"/>
        <w:keepLines w:val="0"/>
        <w:pageBreakBefore w:val="0"/>
        <w:widowControl w:val="0"/>
        <w:shd w:val="clear"/>
        <w:kinsoku/>
        <w:wordWrap/>
        <w:overflowPunct/>
        <w:topLinePunct w:val="0"/>
        <w:autoSpaceDE/>
        <w:autoSpaceDN/>
        <w:bidi w:val="0"/>
        <w:adjustRightInd/>
        <w:snapToGrid/>
        <w:ind w:firstLine="482" w:firstLineChars="200"/>
        <w:textAlignment w:val="auto"/>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应对电气线路、控制柜、传感器等进行检查更新。</w:t>
      </w:r>
    </w:p>
    <w:p w14:paraId="67B3AF41">
      <w:pPr>
        <w:keepNext w:val="0"/>
        <w:keepLines w:val="0"/>
        <w:pageBreakBefore w:val="0"/>
        <w:widowControl w:val="0"/>
        <w:shd w:val="clear"/>
        <w:kinsoku/>
        <w:wordWrap/>
        <w:overflowPunct/>
        <w:topLinePunct w:val="0"/>
        <w:autoSpaceDE/>
        <w:autoSpaceDN/>
        <w:bidi w:val="0"/>
        <w:adjustRightInd/>
        <w:snapToGrid/>
        <w:ind w:firstLine="482" w:firstLineChars="200"/>
        <w:textAlignment w:val="auto"/>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宜结合大修对控制系统进行软件升级，提升智能化控制水平。</w:t>
      </w:r>
    </w:p>
    <w:p w14:paraId="1AB9A079">
      <w:pPr>
        <w:pStyle w:val="3"/>
        <w:bidi w:val="0"/>
        <w:rPr>
          <w:rFonts w:hint="eastAsia"/>
          <w:b/>
          <w:bCs/>
          <w:color w:val="000000" w:themeColor="text1"/>
          <w:kern w:val="0"/>
          <w:lang w:bidi="ar"/>
          <w14:textFill>
            <w14:solidFill>
              <w14:schemeClr w14:val="tx1"/>
            </w14:solidFill>
          </w14:textFill>
        </w:rPr>
      </w:pPr>
      <w:bookmarkStart w:id="183" w:name="_Toc8003"/>
      <w:r>
        <w:rPr>
          <w:rFonts w:hint="eastAsia"/>
          <w:color w:val="000000" w:themeColor="text1"/>
          <w:lang w:val="en-US" w:eastAsia="zh-CN"/>
          <w14:textFill>
            <w14:solidFill>
              <w14:schemeClr w14:val="tx1"/>
            </w14:solidFill>
          </w14:textFill>
        </w:rPr>
        <w:t>10</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应急预案</w:t>
      </w:r>
      <w:bookmarkEnd w:id="183"/>
    </w:p>
    <w:p w14:paraId="0FCBA586">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6</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 xml:space="preserve">  </w:t>
      </w:r>
      <w:r>
        <w:rPr>
          <w:rFonts w:hint="eastAsia"/>
          <w:color w:val="000000" w:themeColor="text1"/>
          <w14:textFill>
            <w14:solidFill>
              <w14:schemeClr w14:val="tx1"/>
            </w14:solidFill>
          </w14:textFill>
        </w:rPr>
        <w:t>集成平台使用应编制专项应急预案、现场处置方案，并应符合下列规定：</w:t>
      </w:r>
    </w:p>
    <w:p w14:paraId="2D52BC52">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应急预案应经审批后实施，并报建设、监理单位备案。</w:t>
      </w:r>
    </w:p>
    <w:p w14:paraId="0E66626C">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应急预案内容应包括：应急组织机构及职责、危险源辨识、应急响应程序、处置措施、应急物资清单、疏散路线图、外部救援联系方式。</w:t>
      </w:r>
    </w:p>
    <w:p w14:paraId="1384B5D0">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应成立专业的应急救援队伍，明确职责分工。</w:t>
      </w:r>
    </w:p>
    <w:p w14:paraId="1A1F47F8">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4</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应进行针对性的安全培训，使所有作业人员熟悉应急流程和逃生路线。</w:t>
      </w:r>
    </w:p>
    <w:p w14:paraId="7B35BF27">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6</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2</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集成平台使用应按需要配备应急物资，存放在专用仓库或指定位置，标识清晰，定期检查维护，确保完好有效。</w:t>
      </w:r>
    </w:p>
    <w:p w14:paraId="0A6904E9">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6</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3</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应急演练应符合下列规定：</w:t>
      </w:r>
    </w:p>
    <w:p w14:paraId="77601A9A">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应每半年至少组织一次应急演练，包含至少1项集成平台设备类故障模拟场景。</w:t>
      </w:r>
    </w:p>
    <w:p w14:paraId="45A8E7DA">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演练前应制定演练方案，明确演练目的、内容、参与人员、演练步骤。</w:t>
      </w:r>
    </w:p>
    <w:p w14:paraId="58D6F8AE">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演练过程应记录评估，包括响应时间、人员配合、物资使用、存在问题等。</w:t>
      </w:r>
    </w:p>
    <w:p w14:paraId="5E19EE36">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4</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演练后应召开总结会，分析存在问题，完善应急预案和处置措施。</w:t>
      </w:r>
    </w:p>
    <w:p w14:paraId="5A9E90AE">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5</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演练应覆盖所有作业人员，使其熟悉应急流程和逃生路线。</w:t>
      </w:r>
    </w:p>
    <w:p w14:paraId="0BC7DBE7">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6</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可邀请监理、建设单位参与，检验多方协同响应能力。</w:t>
      </w:r>
    </w:p>
    <w:p w14:paraId="2A7C2952">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6</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 xml:space="preserve">4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集成平台作业主要安全风险辨识</w:t>
      </w:r>
    </w:p>
    <w:p w14:paraId="718AF2B1">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火灾</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因在集成平台内违章动火或集成液压控制、焊接设备、照明、电动工具等用电负荷过大，导致集成平台内火灾救援滞后，应急响应困难及产生的后果、损坏较为严重，可能造成人员烧伤、窒息导致伤亡。</w:t>
      </w:r>
    </w:p>
    <w:p w14:paraId="564D7FD7">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坍塌</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多由附着支撑锁止失效、顶升不同步或违规操作直接触发，叠加设计缺陷、制作安装质量不合格、超载偏载、强风等因素，出现集成平台整体或局部垮塌、解体、与建筑主体结构脱离造成人员伤亡。</w:t>
      </w:r>
    </w:p>
    <w:p w14:paraId="16207F21">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高处坠落</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临边洞口防护缺失破损、作业人员未规范佩戴安全带等违章行为，集成平台脚手板铺设不严、挂架层缺口未封闭，高空强风、湿滑面致人员失稳，叠加安全培训缺位、防护设施验收不严，多因素耦合引发坠落事故。</w:t>
      </w:r>
    </w:p>
    <w:p w14:paraId="7D35479E">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4</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物体打击</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因在集成平台内多层立体作业，层间硬质防护缺失；物料工具临边堆放未固定、拆装零散部件易失手坠落，构件连接失效脱落，吊装物料散落，叠加杂物堆积、安全管理缺位，坠物易贯穿多层作业面引发伤害。</w:t>
      </w:r>
    </w:p>
    <w:p w14:paraId="05EB078A">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5</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结构异常</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因建筑主体结构施工质量问题或集成平台因违章堆载对附着建筑产生超过设计值荷载而导致的建筑主体结构开裂、倾覆、垮塌。</w:t>
      </w:r>
    </w:p>
    <w:p w14:paraId="03A83EE9">
      <w:pPr>
        <w:pageBreakBefore w:val="0"/>
        <w:widowControl/>
        <w:kinsoku/>
        <w:wordWrap/>
        <w:overflowPunct/>
        <w:topLinePunct w:val="0"/>
        <w:bidi w:val="0"/>
        <w:spacing w:line="360" w:lineRule="auto"/>
        <w:ind w:firstLine="482" w:firstLineChars="200"/>
        <w:rPr>
          <w:rFonts w:hint="eastAsia" w:cs="Times New Roman"/>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6</w:t>
      </w:r>
      <w:r>
        <w:rPr>
          <w:rFonts w:hint="eastAsia" w:cs="Times New Roman"/>
          <w:color w:val="000000" w:themeColor="text1"/>
          <w:highlight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触电。造楼机机载电气设备、动力及控制线路存在老化破损、绝缘失效、接地接零保护不到位、漏电保护装置失灵、接线不规范等隐患；现场存在违规带电操作、私拉乱接、设备超负荷运行等违章行为</w:t>
      </w:r>
      <w:r>
        <w:rPr>
          <w:rFonts w:hint="eastAsia" w:cs="Times New Roman"/>
          <w:color w:val="000000" w:themeColor="text1"/>
          <w:highlight w:val="none"/>
          <w:lang w:val="en-US" w:eastAsia="zh-CN"/>
          <w14:textFill>
            <w14:solidFill>
              <w14:schemeClr w14:val="tx1"/>
            </w14:solidFill>
          </w14:textFill>
        </w:rPr>
        <w:t>，引发人员伤亡事故。</w:t>
      </w:r>
    </w:p>
    <w:p w14:paraId="0107FD4D">
      <w:pPr>
        <w:pageBreakBefore w:val="0"/>
        <w:widowControl/>
        <w:kinsoku/>
        <w:wordWrap/>
        <w:overflowPunct/>
        <w:topLinePunct w:val="0"/>
        <w:bidi w:val="0"/>
        <w:spacing w:line="360" w:lineRule="auto"/>
        <w:ind w:firstLine="482"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7</w:t>
      </w:r>
      <w:r>
        <w:rPr>
          <w:rFonts w:hint="eastAsia" w:cs="Times New Roman"/>
          <w:color w:val="000000" w:themeColor="text1"/>
          <w:highlight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液压油泄漏。压油泄漏。造楼机液压泵站、管路接头、高压油管、油缸及阀组等部件出现老化磨损、密封件损坏、紧固件松动，安装检修不到位造成管路装配偏差；作业中超压运行，现场巡检维护不及时，泄漏液压油易流淌至作业走道造成人员滑倒摔伤；油污遇高温电气部件可引发起火；大量泄漏还会造成顶升动力不足，引发顶升失稳、动作异常，衍生设备故障及其他安全事故。</w:t>
      </w:r>
    </w:p>
    <w:p w14:paraId="4C16E613">
      <w:pPr>
        <w:widowControl/>
        <w:ind w:firstLine="482" w:firstLineChars="200"/>
        <w:rPr>
          <w:rFonts w:hint="eastAsia"/>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8</w:t>
      </w:r>
      <w:r>
        <w:rPr>
          <w:rFonts w:hint="eastAsia" w:cs="Times New Roman"/>
          <w:color w:val="000000" w:themeColor="text1"/>
          <w:highlight w:val="none"/>
          <w:lang w:val="en-US" w:eastAsia="zh-CN"/>
          <w14:textFill>
            <w14:solidFill>
              <w14:schemeClr w14:val="tx1"/>
            </w14:solidFill>
          </w14:textFill>
        </w:rPr>
        <w:t xml:space="preserve">  机械伤害。顶升油缸、锁止机构、传动链条、滚轮组件、液压驱动部件等运动机构防护装置缺失或破损；设备检修未执行停机挂牌、限位装置失效，作业人员违规将肢体伸入运动区域，存在跨越运转构件、清理设备时未停机等违章行为。发生挤压、剪切、卷入、磕碰事故，造成人员肢体挫伤、骨折、截断、伤亡。</w:t>
      </w:r>
    </w:p>
    <w:p w14:paraId="6BAC29A0">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6</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5</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各类事故应急处置应符合下列规定：</w:t>
      </w:r>
    </w:p>
    <w:p w14:paraId="5407DAC6">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坍塌事故</w:t>
      </w:r>
    </w:p>
    <w:p w14:paraId="7F4C52F0">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立即启动应急响应：第一时间停止全部作业，切断平台总电源与液压系统，按预案逐级上报，同步拨打消防、医疗救援电话，严禁盲目冒险施救。</w:t>
      </w:r>
    </w:p>
    <w:p w14:paraId="26405112">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划定警戒疏散区域：快速在坍塌影响范围及下方地面设置警戒线，疏散所有无关人员，严禁人员穿行，防范二次坍塌及坠物打击次生伤害。</w:t>
      </w:r>
    </w:p>
    <w:p w14:paraId="08E9FB86">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排查确认被困人员：通过喊话、敲击结构等方式，快速定位被困人员数量与位置，保持联络稳定，安抚被困人员，禁止擅自进入不稳定结构区域。</w:t>
      </w:r>
    </w:p>
    <w:p w14:paraId="15678920">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配合专业救援实施：向救援队伍提供集成平台结构图纸、被困位置、荷载分布等信息，配合开展破拆、吊装、通道开辟作业，保障救援路径畅通。</w:t>
      </w:r>
    </w:p>
    <w:p w14:paraId="7AE660C6">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保护现场依规上报：妥善保护事故现场及相关资料，不得擅自破坏现场、移动物件，按规定程序向监管部门上报事故情况，配合后续事故调查。</w:t>
      </w:r>
    </w:p>
    <w:p w14:paraId="3FBEBCE0">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高处坠落</w:t>
      </w:r>
    </w:p>
    <w:p w14:paraId="50DC252A">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立即启动应急响应：停止涉事区域全部作业，第一时间上报项目应急指挥部，严禁盲目进入不稳定结构区域施救，规避次生风险。</w:t>
      </w:r>
    </w:p>
    <w:p w14:paraId="1C9AC05E">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划定双重警戒区域：在坠落作业面及地面坠落影响范围分别设置警戒线，疏散无关人员，确认周边结构与临边防护稳定性，清理救援通行通道。</w:t>
      </w:r>
    </w:p>
    <w:p w14:paraId="243D89F3">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规范开展现场急救：初步评估伤者意识与伤情，对出血部位加压止血，疑似脊柱、骨折损伤时严格固定体位，严禁随意搬动，保持伤者呼吸道通畅。</w:t>
      </w:r>
    </w:p>
    <w:p w14:paraId="7F6233F8">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打通高空救援通道：协调专用施工电梯、安全爬梯作为救援动线，引导急救人员快速抵达作业面，配合医护做好伤者高空转运的防护与地面接应。</w:t>
      </w:r>
    </w:p>
    <w:p w14:paraId="0B7AE932">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排查管控次生隐患：全面核查坠落点临边防护、脚手板、洞口封闭的破损情况，及时修复加固，清理散落物料，消除后续失足、坠物风险。</w:t>
      </w:r>
    </w:p>
    <w:p w14:paraId="6FFD6B60">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保护现场依规上报：妥善留存事故现场影像与物证，不得擅自破坏现场原貌，按规定向监管部门上报事故情况，配合后续调查取证工作。</w:t>
      </w:r>
    </w:p>
    <w:p w14:paraId="4F8EBB6F">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物体打击</w:t>
      </w:r>
    </w:p>
    <w:p w14:paraId="4D04DA55">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立即停工启动响应：第一时间停止涉事区域上下全部作业，上报应急指挥部，严禁贸然进入风险区，防范上方持续坠物造成二次伤害。</w:t>
      </w:r>
    </w:p>
    <w:p w14:paraId="628ECAF8">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划定警戒疏散人员：在作业层及地面坠物影响范围双区域设置警戒线，疏散无关人员，清理救援通道，禁止无关人员穿行警戒区。</w:t>
      </w:r>
    </w:p>
    <w:p w14:paraId="10A67345">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规范开展现场急救：将伤者转移至安全平稳区域，评估意识与伤情，对出血伤口加压包扎止血，疑似颅脑、脊柱损伤时固定体位，严禁随意搬动。</w:t>
      </w:r>
    </w:p>
    <w:p w14:paraId="7A72A83D">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排查消除次生隐患：快速清理作业面零散松动物料，封闭临边、洞口缝隙，复核防护设施完整性，消除持续坠物风险，保障救援环境安全。</w:t>
      </w:r>
    </w:p>
    <w:p w14:paraId="1F0FA9E6">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协同完成伤者转运：协调专用施工电梯、安全梯道作为救援动线，引导医护人员抵达作业面，配合做好伤者高空平稳转运与地面接应工作。</w:t>
      </w:r>
    </w:p>
    <w:p w14:paraId="3245F08E">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保护现场依规上报：妥善留存坠落物件、受损防护等现场物证，不得擅自破坏现场原貌，按规定上报监管部门，配合事故调查与原因溯源。</w:t>
      </w:r>
    </w:p>
    <w:p w14:paraId="6AA138B8">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4</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火灾</w:t>
      </w:r>
    </w:p>
    <w:p w14:paraId="72AA94CC">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立即启动响应并切断危险源：第一时间停止全部作业，切断平台总电源与液压系统供油，上报应急指挥部，同步拨打 119 火警、120 急救电话，严禁盲目冒险施救。</w:t>
      </w:r>
    </w:p>
    <w:p w14:paraId="40AD43CF">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开展初期火灾扑救：利用作业层干粉灭火器、消防水带扑救初火；电气火灾禁用清水，油类火灾优先覆盖窒息，沿竖向通道设堵截防线，遏制烟囱效应加速蔓延。</w:t>
      </w:r>
    </w:p>
    <w:p w14:paraId="1EBA1B62">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有序组织人员疏散：引导作业人员沿专用安全梯道撤离至地面安全区，严禁乘坐普通施工电梯；撤离后清点人数，确认被困人员情况并保持联络。</w:t>
      </w:r>
    </w:p>
    <w:p w14:paraId="0F2EE354">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管控次生灾害风险：在地面影响范围设置警戒线，疏散下方无关人员；持续监测钢结构变形，防范高温软化引发次生坍塌及坠物打击伤害。</w:t>
      </w:r>
    </w:p>
    <w:p w14:paraId="459A9CD6">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配合专业消防救援：向救援队伍</w:t>
      </w:r>
      <w:r>
        <w:rPr>
          <w:rFonts w:hint="eastAsia"/>
          <w:color w:val="000000" w:themeColor="text1"/>
          <w:lang w:eastAsia="zh-CN"/>
          <w14:textFill>
            <w14:solidFill>
              <w14:schemeClr w14:val="tx1"/>
            </w14:solidFill>
          </w14:textFill>
        </w:rPr>
        <w:t>提及</w:t>
      </w:r>
      <w:r>
        <w:rPr>
          <w:rFonts w:hint="eastAsia"/>
          <w:color w:val="000000" w:themeColor="text1"/>
          <w14:textFill>
            <w14:solidFill>
              <w14:schemeClr w14:val="tx1"/>
            </w14:solidFill>
          </w14:textFill>
        </w:rPr>
        <w:t>建筑物、集成平台、可燃物分布、被困位置等信息，协助开辟救援通道、接驳消防水源，配合高空救援作业。</w:t>
      </w:r>
    </w:p>
    <w:p w14:paraId="13DD6866">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余火排查与现场保护：明火扑灭后全面排查阴燃余火，防范复燃；妥善保护事故现场，不得擅自清理物证，按规定上报并配合事故调查。</w:t>
      </w:r>
    </w:p>
    <w:p w14:paraId="6D249225">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5</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雷雨、台风</w:t>
      </w:r>
    </w:p>
    <w:p w14:paraId="02D50411">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建立施工现场安全防台风领导小组。小组职责为制定防台风预案及防台风的检查制度，教育现场每个施工人员要认真执行各项防台风安全管理制度。</w:t>
      </w:r>
    </w:p>
    <w:p w14:paraId="5ACCAC7F">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在气象部门每次台风预警信息发布后，进行防台风工作布置及组织各项防台风措施落实。</w:t>
      </w:r>
    </w:p>
    <w:p w14:paraId="240DF989">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检查架体基础排水是否通畅，是否有沉积的杂物，水泵是否工作可靠，发现隐患立即排除。</w:t>
      </w:r>
    </w:p>
    <w:p w14:paraId="44F94A9E">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在台风暴雨到来前对连墙点进行检查，缺少的立即补齐。</w:t>
      </w:r>
    </w:p>
    <w:p w14:paraId="4ADF3BAC">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检查钢平台及挂架上面是否有方木、扣件、钢管、砼块等杂物，如有应立即安排整改。</w:t>
      </w:r>
    </w:p>
    <w:p w14:paraId="6219D961">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拆除</w:t>
      </w:r>
      <w:r>
        <w:rPr>
          <w:rFonts w:hint="eastAsia"/>
          <w:color w:val="000000" w:themeColor="text1"/>
          <w:lang w:val="en-US" w:eastAsia="zh-CN"/>
          <w14:textFill>
            <w14:solidFill>
              <w14:schemeClr w14:val="tx1"/>
            </w14:solidFill>
          </w14:textFill>
        </w:rPr>
        <w:t>钢平台</w:t>
      </w:r>
      <w:r>
        <w:rPr>
          <w:rFonts w:hint="eastAsia"/>
          <w:color w:val="000000" w:themeColor="text1"/>
          <w14:textFill>
            <w14:solidFill>
              <w14:schemeClr w14:val="tx1"/>
            </w14:solidFill>
          </w14:textFill>
        </w:rPr>
        <w:t>顶部外围防护网片以及挂架上半部分网片，有效地减小架体的挡风面积，谨防横风、涡流旋风对架体的冲击，未拆除的网片需保证其安装牢固。</w:t>
      </w:r>
    </w:p>
    <w:p w14:paraId="4D57D8CA">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利用钢管将架体内外架体连接，并与结构固定，利用钢丝绳将</w:t>
      </w:r>
      <w:r>
        <w:rPr>
          <w:rFonts w:hint="eastAsia"/>
          <w:color w:val="000000" w:themeColor="text1"/>
          <w:lang w:val="en-US" w:eastAsia="zh-CN"/>
          <w14:textFill>
            <w14:solidFill>
              <w14:schemeClr w14:val="tx1"/>
            </w14:solidFill>
          </w14:textFill>
        </w:rPr>
        <w:t>钢平台</w:t>
      </w:r>
      <w:r>
        <w:rPr>
          <w:rFonts w:hint="eastAsia"/>
          <w:color w:val="000000" w:themeColor="text1"/>
          <w14:textFill>
            <w14:solidFill>
              <w14:schemeClr w14:val="tx1"/>
            </w14:solidFill>
          </w14:textFill>
        </w:rPr>
        <w:t>拉结在结构洞口上，保证架体与结构连接牢固。</w:t>
      </w:r>
    </w:p>
    <w:p w14:paraId="07B91FFE">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台风来临前，应收起遮阳防雨天幕，并作加固处理，用钢丝绳或麻绳把天幕立杆进行绑扎处理，并拉结至钢桁架平台。</w:t>
      </w:r>
    </w:p>
    <w:p w14:paraId="380F26ED">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集成平台若在相邻建筑物、构筑物防雷保护范围之外，则应安装防雷装置，防雷装置的</w:t>
      </w:r>
      <w:r>
        <w:rPr>
          <w:rFonts w:hint="eastAsia"/>
          <w:color w:val="000000" w:themeColor="text1"/>
          <w:lang w:eastAsia="zh-CN"/>
          <w14:textFill>
            <w14:solidFill>
              <w14:schemeClr w14:val="tx1"/>
            </w14:solidFill>
          </w14:textFill>
        </w:rPr>
        <w:t>冲击接地电阻</w:t>
      </w:r>
      <w:r>
        <w:rPr>
          <w:rFonts w:hint="eastAsia"/>
          <w:color w:val="000000" w:themeColor="text1"/>
          <w14:textFill>
            <w14:solidFill>
              <w14:schemeClr w14:val="tx1"/>
            </w14:solidFill>
          </w14:textFill>
        </w:rPr>
        <w:t>值不得大于30Ω。</w:t>
      </w:r>
    </w:p>
    <w:p w14:paraId="76AE0692">
      <w:pPr>
        <w:pStyle w:val="3"/>
        <w:bidi w:val="0"/>
        <w:rPr>
          <w:rFonts w:hint="eastAsia"/>
          <w:b/>
          <w:bCs/>
          <w:color w:val="000000" w:themeColor="text1"/>
          <w:kern w:val="0"/>
          <w:lang w:bidi="ar"/>
          <w14:textFill>
            <w14:solidFill>
              <w14:schemeClr w14:val="tx1"/>
            </w14:solidFill>
          </w14:textFill>
        </w:rPr>
      </w:pPr>
      <w:bookmarkStart w:id="184" w:name="_Toc22841"/>
      <w:r>
        <w:rPr>
          <w:rFonts w:hint="eastAsia"/>
          <w:color w:val="000000" w:themeColor="text1"/>
          <w:lang w:val="en-US" w:eastAsia="zh-CN"/>
          <w14:textFill>
            <w14:solidFill>
              <w14:schemeClr w14:val="tx1"/>
            </w14:solidFill>
          </w14:textFill>
        </w:rPr>
        <w:t>10</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7</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安全管理档案</w:t>
      </w:r>
      <w:bookmarkEnd w:id="184"/>
    </w:p>
    <w:p w14:paraId="6D891560">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7</w:t>
      </w:r>
      <w:r>
        <w:rPr>
          <w:b/>
          <w:bCs/>
          <w:color w:val="000000" w:themeColor="text1"/>
          <w:kern w:val="0"/>
          <w:lang w:bidi="ar"/>
          <w14:textFill>
            <w14:solidFill>
              <w14:schemeClr w14:val="tx1"/>
            </w14:solidFill>
          </w14:textFill>
        </w:rPr>
        <w:t>.</w:t>
      </w:r>
      <w:r>
        <w:rPr>
          <w:rFonts w:hint="eastAsia"/>
          <w:b/>
          <w:bCs/>
          <w:color w:val="000000" w:themeColor="text1"/>
          <w:kern w:val="0"/>
          <w:lang w:bidi="ar"/>
          <w14:textFill>
            <w14:solidFill>
              <w14:schemeClr w14:val="tx1"/>
            </w14:solidFill>
          </w14:textFill>
        </w:rPr>
        <w:t>1</w:t>
      </w:r>
      <w:r>
        <w:rPr>
          <w:b/>
          <w:bCs/>
          <w:color w:val="000000" w:themeColor="text1"/>
          <w:kern w:val="0"/>
          <w:lang w:bidi="ar"/>
          <w14:textFill>
            <w14:solidFill>
              <w14:schemeClr w14:val="tx1"/>
            </w14:solidFill>
          </w14:textFill>
        </w:rPr>
        <w:t xml:space="preserve"> </w:t>
      </w:r>
      <w:r>
        <w:rPr>
          <w:rFonts w:hint="default" w:ascii="Times New Roman" w:hAnsi="Times New Roman" w:eastAsia="宋体" w:cs="Times New Roman"/>
          <w:color w:val="000000" w:themeColor="text1"/>
          <w:highlight w:val="none"/>
          <w14:textFill>
            <w14:solidFill>
              <w14:schemeClr w14:val="tx1"/>
            </w14:solidFill>
          </w14:textFill>
        </w:rPr>
        <w:t>集成平台工程项目应实行“一机一档”安全管理，建立覆盖设备进场、安装验收、运行维护、顶升作业</w:t>
      </w:r>
      <w:r>
        <w:rPr>
          <w:rFonts w:hint="eastAsia" w:ascii="Times New Roman" w:hAnsi="Times New Roman" w:eastAsia="宋体" w:cs="Times New Roman"/>
          <w:color w:val="000000" w:themeColor="text1"/>
          <w:highlight w:val="none"/>
          <w:lang w:eastAsia="zh-CN"/>
          <w14:textFill>
            <w14:solidFill>
              <w14:schemeClr w14:val="tx1"/>
            </w14:solidFill>
          </w14:textFill>
        </w:rPr>
        <w:t>（每一次顶升作业一记录）</w:t>
      </w:r>
      <w:r>
        <w:rPr>
          <w:rFonts w:hint="default" w:ascii="Times New Roman" w:hAnsi="Times New Roman" w:eastAsia="宋体" w:cs="Times New Roman"/>
          <w:color w:val="000000" w:themeColor="text1"/>
          <w:highlight w:val="none"/>
          <w14:textFill>
            <w14:solidFill>
              <w14:schemeClr w14:val="tx1"/>
            </w14:solidFill>
          </w14:textFill>
        </w:rPr>
        <w:t>、拆卸退场全生命周期的安全管理档案。档案由项目安全管理部门负责建立、更新与保管，保存期限不少于设备使用周期。控制系统运行、报警、参数修改日志应具备防篡改，禁止本地清空，宜云端备份</w:t>
      </w:r>
      <w:r>
        <w:rPr>
          <w:rFonts w:hint="eastAsia"/>
          <w:color w:val="000000" w:themeColor="text1"/>
          <w14:textFill>
            <w14:solidFill>
              <w14:schemeClr w14:val="tx1"/>
            </w14:solidFill>
          </w14:textFill>
        </w:rPr>
        <w:t>。</w:t>
      </w:r>
    </w:p>
    <w:p w14:paraId="704C662D">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7</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2</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安全管理制度</w:t>
      </w:r>
    </w:p>
    <w:p w14:paraId="491E86E1">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应结合工程实际制定施工作业集成平台专项安全管理制度，至少包括：安全生产责任制、安全技术操作规程、安装与拆卸专项方案审批制度、日常检查与维护制度、隐患排查治理制度、应急管理制度、作业人员持证上岗制度。各项制度应明确责任主体、工作流程与管理要求。</w:t>
      </w:r>
    </w:p>
    <w:p w14:paraId="73030038">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7</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安全教育培训</w:t>
      </w:r>
    </w:p>
    <w:p w14:paraId="000460C4">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作业人员上岗前应接受专项安全技术培训，考核合格后方可上岗；特种作业人员必须持有效特种作业操作证上岗作业。</w:t>
      </w:r>
    </w:p>
    <w:p w14:paraId="55C86855">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安装、顶升、拆卸作业前，应向全体作业人员进行书面安全技术交底，明确作业风险、操作流程、安全注意事项及应急处置措施，交底双方签字确认。</w:t>
      </w:r>
    </w:p>
    <w:p w14:paraId="01E92F77">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每月至少组织1次集成平台安全专项教育，结合季节施工特点、典型事故案例开展针对性培训。</w:t>
      </w:r>
    </w:p>
    <w:p w14:paraId="620665D5">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培训记录、考核记录、技术交底记录应全部归入安全管理档案。</w:t>
      </w:r>
    </w:p>
    <w:p w14:paraId="25CEF66B">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7</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4</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安全检查分为日常巡查、月度定期检查、专项检查三类：</w:t>
      </w:r>
    </w:p>
    <w:p w14:paraId="6244AF24">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日常巡查：由现场设备管理员、专职安全员每日开展，重点检查临边防护、防坠装置、液压管路、电气线路、平台堆载情况，填写每日巡查记录。</w:t>
      </w:r>
    </w:p>
    <w:p w14:paraId="55F77862">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月度定期检查：由项目负责人组织，每月开展1次全面安全检查，覆盖结构安全性、液压系统状态、电气系统可靠性、防护设施完整性、监测系统有效性，出具月度检查报告。</w:t>
      </w:r>
    </w:p>
    <w:p w14:paraId="0FE16A10">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专项检查：大风、暴雨、地震等极端天气后，顶升作业前、长期停工复工前，应开展专项安全检查，确认设备状态合格后方可恢复作业。</w:t>
      </w:r>
    </w:p>
    <w:p w14:paraId="16450BCF">
      <w:pPr>
        <w:widowControl/>
        <w:ind w:firstLine="482" w:firstLineChars="200"/>
        <w:rPr>
          <w:rFonts w:hint="eastAsia"/>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所有检查发现的安全隐患应闭环整改，做到定人、定时、定措施，整改记录与检查记录一并归档。</w:t>
      </w:r>
    </w:p>
    <w:p w14:paraId="420E0F8B">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7</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5</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安全管理档案中应留存以下检测检验资料：</w:t>
      </w:r>
    </w:p>
    <w:p w14:paraId="214CF3AF">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进场检测资料：钢结构构件探伤报告、高强度螺栓扭矩检测记录、原材料质量复检报告；</w:t>
      </w:r>
    </w:p>
    <w:p w14:paraId="6CD13419">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安装验收检测资料：支承系统垂直度、钢平台挠度、液压系统同步性、电气绝缘电阻与接地电阻、防雷接地电阻等检测记录；</w:t>
      </w:r>
    </w:p>
    <w:p w14:paraId="1A63BD67">
      <w:pPr>
        <w:widowControl/>
        <w:ind w:firstLine="48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定期检测资料：每年至少委托具备相应资质的第三方机构开展1次全面安全性能检测，检测报告存入档案。</w:t>
      </w:r>
    </w:p>
    <w:p w14:paraId="540890B8">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7</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6</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应急演练记录</w:t>
      </w:r>
    </w:p>
    <w:p w14:paraId="25E8CE85">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应针对高处坠落、液压失效、极端大风等风险制定集成平台专项应急预案，每半年至少组织1次应急演练。演练记录应包括演练方案、参演人员名单、演练过程记录、效果评估总结、持续改进措施等内容，并存入安全管理档案。</w:t>
      </w:r>
    </w:p>
    <w:p w14:paraId="1C58BDA1">
      <w:pPr>
        <w:widowControl/>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7</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7</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事故与故障记录</w:t>
      </w:r>
    </w:p>
    <w:p w14:paraId="40E615E5">
      <w:pPr>
        <w:widowControl/>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集成平台运行中发生的设备故障、安全事故、未遂事件，均应如实记录归档，内容包括：事件发生时间、地点、经过、原因分析、应急处置措施、整改方案、责任认定及处理结果。发生生产安全事故的，应按规定程序上报，并将事故调查报告及处理文件归入档案。</w:t>
      </w:r>
    </w:p>
    <w:p w14:paraId="30113E22">
      <w:pPr>
        <w:pStyle w:val="3"/>
        <w:bidi w:val="0"/>
        <w:rPr>
          <w:rFonts w:hint="eastAsia"/>
          <w:b/>
          <w:bCs/>
          <w:color w:val="000000" w:themeColor="text1"/>
          <w:kern w:val="0"/>
          <w:lang w:bidi="ar"/>
          <w14:textFill>
            <w14:solidFill>
              <w14:schemeClr w14:val="tx1"/>
            </w14:solidFill>
          </w14:textFill>
        </w:rPr>
      </w:pPr>
      <w:bookmarkStart w:id="185" w:name="_Toc29528"/>
      <w:r>
        <w:rPr>
          <w:rFonts w:hint="eastAsia"/>
          <w:color w:val="000000" w:themeColor="text1"/>
          <w:lang w:val="en-US" w:eastAsia="zh-CN"/>
          <w14:textFill>
            <w14:solidFill>
              <w14:schemeClr w14:val="tx1"/>
            </w14:solidFill>
          </w14:textFill>
        </w:rPr>
        <w:t>10</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8</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施工环境保护</w:t>
      </w:r>
      <w:bookmarkEnd w:id="185"/>
    </w:p>
    <w:p w14:paraId="7B462118">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kern w:val="0"/>
          <w:lang w:bidi="ar"/>
          <w14:textFill>
            <w14:solidFill>
              <w14:schemeClr w14:val="tx1"/>
            </w14:solidFill>
          </w14:textFill>
        </w:rPr>
        <w:t>1</w:t>
      </w:r>
      <w:r>
        <w:rPr>
          <w:b/>
          <w:bCs/>
          <w:color w:val="000000" w:themeColor="text1"/>
          <w:kern w:val="0"/>
          <w:lang w:bidi="ar"/>
          <w14:textFill>
            <w14:solidFill>
              <w14:schemeClr w14:val="tx1"/>
            </w14:solidFill>
          </w14:textFill>
        </w:rPr>
        <w:t xml:space="preserve">  </w:t>
      </w:r>
      <w:r>
        <w:rPr>
          <w:rFonts w:hint="eastAsia"/>
          <w:color w:val="000000" w:themeColor="text1"/>
          <w14:textFill>
            <w14:solidFill>
              <w14:schemeClr w14:val="tx1"/>
            </w14:solidFill>
          </w14:textFill>
        </w:rPr>
        <w:t>集成平台绿色施工应符合现行国家标准《建筑工程绿色施工规范》GB/T50905的有关规定。</w:t>
      </w:r>
    </w:p>
    <w:p w14:paraId="776FDBF8">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集成平台宜采用工业化、标准化、模块化设计。</w:t>
      </w:r>
    </w:p>
    <w:p w14:paraId="56A57F43">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集成平台所用材料应选用节能、环保、可周转使用的材质。</w:t>
      </w:r>
    </w:p>
    <w:p w14:paraId="356D17D8">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集成平台应利用其全封闭或半封闭围护结构作为防尘屏障，平台外围护应严密，减少作业面扬尘外溢。</w:t>
      </w:r>
    </w:p>
    <w:p w14:paraId="10E36321">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5</w:t>
      </w:r>
      <w:r>
        <w:rPr>
          <w:rFonts w:hint="eastAsia"/>
          <w:color w:val="000000" w:themeColor="text1"/>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14:textFill>
            <w14:solidFill>
              <w14:schemeClr w14:val="tx1"/>
            </w14:solidFill>
          </w14:textFill>
        </w:rPr>
        <w:t>集成平台上的混凝土输送泵、电锯等高噪声和振动大的机具设备宜设隔音罩、隔音板等降噪与减震措施</w:t>
      </w:r>
      <w:r>
        <w:rPr>
          <w:rFonts w:hint="eastAsia"/>
          <w:color w:val="000000" w:themeColor="text1"/>
          <w:highlight w:val="none"/>
          <w14:textFill>
            <w14:solidFill>
              <w14:schemeClr w14:val="tx1"/>
            </w14:solidFill>
          </w14:textFill>
        </w:rPr>
        <w:t>。</w:t>
      </w:r>
    </w:p>
    <w:p w14:paraId="4ED5FEAB">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6</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集成平台施工噪声排放应符合国家与广东省有关施工禁令时间的规定，施工噪声声强值昼间（6:00至22:00之间的时段）不应大于70dB（A），夜间（22:00至次日6:00之间的时段）不应大于55dB（A）。</w:t>
      </w:r>
    </w:p>
    <w:p w14:paraId="3E5D0014">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7</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集成平台上材料、设备装卸应设置降噪垫层，控制撞击噪声。吊装作业指挥应使用对讲机传达指令，减少呼喊噪声。</w:t>
      </w:r>
    </w:p>
    <w:p w14:paraId="2C6BEA65">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8</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集成平台夜间照明应采取防止光线外泄措施。平台照明应加设灯罩，光照方向应集中在施工范围内，不得直射周边居民区。</w:t>
      </w:r>
    </w:p>
    <w:p w14:paraId="7BFBE3A2">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9</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集成平台上的电焊作业</w:t>
      </w:r>
      <w:r>
        <w:rPr>
          <w:rFonts w:hint="eastAsia"/>
          <w:color w:val="000000" w:themeColor="text1"/>
          <w:lang w:val="en-US" w:eastAsia="zh-CN"/>
          <w14:textFill>
            <w14:solidFill>
              <w14:schemeClr w14:val="tx1"/>
            </w14:solidFill>
          </w14:textFill>
        </w:rPr>
        <w:t>宜</w:t>
      </w:r>
      <w:r>
        <w:rPr>
          <w:rFonts w:hint="eastAsia"/>
          <w:color w:val="000000" w:themeColor="text1"/>
          <w14:textFill>
            <w14:solidFill>
              <w14:schemeClr w14:val="tx1"/>
            </w14:solidFill>
          </w14:textFill>
        </w:rPr>
        <w:t>采取挡光措施，在平台内侧设置遮光挡板或遮光帘，防止焊接强光外泄。</w:t>
      </w:r>
    </w:p>
    <w:p w14:paraId="70BA149C">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10</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w:t>
      </w:r>
      <w:r>
        <w:rPr>
          <w:rFonts w:hint="eastAsia"/>
          <w:color w:val="000000" w:themeColor="text1"/>
          <w:lang w:val="en-US" w:eastAsia="zh-CN"/>
          <w14:textFill>
            <w14:solidFill>
              <w14:schemeClr w14:val="tx1"/>
            </w14:solidFill>
          </w14:textFill>
        </w:rPr>
        <w:t>宜</w:t>
      </w:r>
      <w:r>
        <w:rPr>
          <w:rFonts w:hint="eastAsia"/>
          <w:color w:val="000000" w:themeColor="text1"/>
          <w14:textFill>
            <w14:solidFill>
              <w14:schemeClr w14:val="tx1"/>
            </w14:solidFill>
          </w14:textFill>
        </w:rPr>
        <w:t>设置楼层废水收集系统，作业面的施工废水、养护水等应通过集水系统集中引流至地面沉淀池处理。</w:t>
      </w:r>
    </w:p>
    <w:p w14:paraId="35DAE257">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集成平台上的混凝土养护应采用节水养护工艺，减少废水产生。喷淋降尘用水应循环利用。</w:t>
      </w:r>
    </w:p>
    <w:p w14:paraId="774773BD">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集成平台上存放的油料和化学溶剂等物品应</w:t>
      </w:r>
      <w:r>
        <w:rPr>
          <w:rFonts w:hint="eastAsia"/>
          <w:color w:val="000000" w:themeColor="text1"/>
          <w:lang w:eastAsia="zh-CN"/>
          <w14:textFill>
            <w14:solidFill>
              <w14:schemeClr w14:val="tx1"/>
            </w14:solidFill>
          </w14:textFill>
        </w:rPr>
        <w:t>设置</w:t>
      </w:r>
      <w:r>
        <w:rPr>
          <w:rFonts w:hint="eastAsia"/>
          <w:color w:val="000000" w:themeColor="text1"/>
          <w14:textFill>
            <w14:solidFill>
              <w14:schemeClr w14:val="tx1"/>
            </w14:solidFill>
          </w14:textFill>
        </w:rPr>
        <w:t>专门存放区，并做防渗漏处理。废弃的油料和化学溶剂应集中处理，不得随意倾倒。</w:t>
      </w:r>
    </w:p>
    <w:p w14:paraId="14A08BE7">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集成平台上易挥发、易污染的液态材料，应使用密闭容器存放。</w:t>
      </w:r>
    </w:p>
    <w:p w14:paraId="3F3774A9">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w:t>
      </w:r>
      <w:r>
        <w:rPr>
          <w:rFonts w:hint="eastAsia"/>
          <w:color w:val="000000" w:themeColor="text1"/>
          <w:lang w:val="en-US" w:eastAsia="zh-CN"/>
          <w14:textFill>
            <w14:solidFill>
              <w14:schemeClr w14:val="tx1"/>
            </w14:solidFill>
          </w14:textFill>
        </w:rPr>
        <w:t>宜</w:t>
      </w:r>
      <w:r>
        <w:rPr>
          <w:rFonts w:hint="eastAsia"/>
          <w:color w:val="000000" w:themeColor="text1"/>
          <w14:textFill>
            <w14:solidFill>
              <w14:schemeClr w14:val="tx1"/>
            </w14:solidFill>
          </w14:textFill>
        </w:rPr>
        <w:t>设置封闭式垃圾桶，建筑垃圾应分类收集，集中堆放和运出。</w:t>
      </w:r>
    </w:p>
    <w:p w14:paraId="794A32BF">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15</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集成平台上的废电池、废油漆桶、废涂料桶等有毒有害废弃物应封闭回收，单独存放，设置醒目标识，不与其他垃圾混弃，并由符合要求的专业机构消纳处置。有毒有害废物分类率应达到100%。</w:t>
      </w:r>
    </w:p>
    <w:p w14:paraId="4BB0706B">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16</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集成平台上的电焊作业应使用合格的焊接材料，电焊烟气的排放应符合现行国家标准《大气污染物综合排放标准》GB 16297的规定。</w:t>
      </w:r>
    </w:p>
    <w:p w14:paraId="356C0FCB">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17</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集成平台上的喷涂作业时应设有防挥发物扩散的措施。</w:t>
      </w:r>
    </w:p>
    <w:p w14:paraId="391D6944">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18</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集成平台上严禁焚烧各类废弃物。</w:t>
      </w:r>
    </w:p>
    <w:p w14:paraId="70982943">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0</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8</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19</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集成平台高空作业区域宜设置移动环保厕所，并定期清运、消毒。</w:t>
      </w:r>
    </w:p>
    <w:p w14:paraId="00167CC5">
      <w:pPr>
        <w:rPr>
          <w:rFonts w:hint="eastAsia"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br w:type="page"/>
      </w:r>
    </w:p>
    <w:p w14:paraId="50AB3A75">
      <w:pPr>
        <w:pStyle w:val="2"/>
        <w:bidi w:val="0"/>
        <w:rPr>
          <w:rFonts w:hint="default"/>
          <w:color w:val="000000" w:themeColor="text1"/>
          <w14:textFill>
            <w14:solidFill>
              <w14:schemeClr w14:val="tx1"/>
            </w14:solidFill>
          </w14:textFill>
        </w:rPr>
      </w:pPr>
      <w:bookmarkStart w:id="186" w:name="_Toc9003"/>
      <w:r>
        <w:rPr>
          <w:rFonts w:hint="eastAsia"/>
          <w:color w:val="000000" w:themeColor="text1"/>
          <w:lang w:val="en-US" w:eastAsia="zh-CN"/>
          <w14:textFill>
            <w14:solidFill>
              <w14:schemeClr w14:val="tx1"/>
            </w14:solidFill>
          </w14:textFill>
        </w:rPr>
        <w:t>第11章</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平台改造与拆除</w:t>
      </w:r>
      <w:bookmarkEnd w:id="186"/>
    </w:p>
    <w:p w14:paraId="0ACCD98C">
      <w:pPr>
        <w:pStyle w:val="3"/>
        <w:bidi w:val="0"/>
        <w:rPr>
          <w:rFonts w:hint="eastAsia"/>
          <w:b/>
          <w:bCs/>
          <w:color w:val="000000" w:themeColor="text1"/>
          <w:kern w:val="0"/>
          <w:lang w:bidi="ar"/>
          <w14:textFill>
            <w14:solidFill>
              <w14:schemeClr w14:val="tx1"/>
            </w14:solidFill>
          </w14:textFill>
        </w:rPr>
      </w:pPr>
      <w:bookmarkStart w:id="187" w:name="_Toc22160"/>
      <w:r>
        <w:rPr>
          <w:rFonts w:hint="eastAsia"/>
          <w:color w:val="000000" w:themeColor="text1"/>
          <w:lang w:val="en-US" w:eastAsia="zh-CN"/>
          <w14:textFill>
            <w14:solidFill>
              <w14:schemeClr w14:val="tx1"/>
            </w14:solidFill>
          </w14:textFill>
        </w:rPr>
        <w:t>11</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一般规定</w:t>
      </w:r>
      <w:bookmarkEnd w:id="187"/>
    </w:p>
    <w:p w14:paraId="1506C452">
      <w:pPr>
        <w:rPr>
          <w:color w:val="auto"/>
          <w:highlight w:val="green"/>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 xml:space="preserve">.1  </w:t>
      </w:r>
      <w:r>
        <w:rPr>
          <w:rFonts w:hint="eastAsia"/>
          <w:color w:val="auto"/>
        </w:rPr>
        <w:t>集成平台拆除前，应根据工程建设情况、平台使用状态、设备服役情况及后续利用需求，确定拆除类别，编制专项拆除方案，并完成专家论证。</w:t>
      </w:r>
    </w:p>
    <w:p w14:paraId="44F7836C">
      <w:pPr>
        <w:rPr>
          <w:color w:val="auto"/>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2</w:t>
      </w:r>
      <w:r>
        <w:rPr>
          <w:b/>
          <w:bCs/>
          <w:color w:val="000000" w:themeColor="text1"/>
          <w:kern w:val="0"/>
          <w:lang w:bidi="ar"/>
          <w14:textFill>
            <w14:solidFill>
              <w14:schemeClr w14:val="tx1"/>
            </w14:solidFill>
          </w14:textFill>
        </w:rPr>
        <w:t xml:space="preserve">  </w:t>
      </w:r>
      <w:r>
        <w:rPr>
          <w:rFonts w:hint="eastAsia"/>
          <w:color w:val="auto"/>
        </w:rPr>
        <w:t>集成平台拆除类别可分为：</w:t>
      </w:r>
    </w:p>
    <w:p w14:paraId="5B525C69">
      <w:pPr>
        <w:ind w:firstLine="482" w:firstLineChars="200"/>
        <w:rPr>
          <w:color w:val="auto"/>
        </w:rPr>
      </w:pPr>
      <w:r>
        <w:rPr>
          <w:rFonts w:hint="eastAsia"/>
          <w:b/>
          <w:bCs/>
          <w:color w:val="auto"/>
        </w:rPr>
        <w:t>1</w:t>
      </w:r>
      <w:r>
        <w:rPr>
          <w:rFonts w:hint="eastAsia"/>
          <w:b/>
          <w:bCs/>
          <w:color w:val="auto"/>
          <w:lang w:val="en-US" w:eastAsia="zh-CN"/>
        </w:rPr>
        <w:t xml:space="preserve">  </w:t>
      </w:r>
      <w:r>
        <w:rPr>
          <w:rFonts w:hint="eastAsia"/>
          <w:color w:val="auto"/>
        </w:rPr>
        <w:t>项目完工拆除：工程主体结构施工完成，平台完成既定施工任务，需退出施工现场时进行的拆除；</w:t>
      </w:r>
    </w:p>
    <w:p w14:paraId="6B3F747C">
      <w:pPr>
        <w:ind w:firstLine="482" w:firstLineChars="200"/>
        <w:rPr>
          <w:color w:val="auto"/>
        </w:rPr>
      </w:pPr>
      <w:r>
        <w:rPr>
          <w:rFonts w:hint="eastAsia"/>
          <w:b/>
          <w:bCs/>
          <w:color w:val="auto"/>
        </w:rPr>
        <w:t>2</w:t>
      </w:r>
      <w:r>
        <w:rPr>
          <w:rFonts w:hint="eastAsia"/>
          <w:b/>
          <w:bCs/>
          <w:color w:val="auto"/>
          <w:lang w:val="en-US" w:eastAsia="zh-CN"/>
        </w:rPr>
        <w:t xml:space="preserve">  </w:t>
      </w:r>
      <w:r>
        <w:rPr>
          <w:rFonts w:hint="eastAsia"/>
          <w:color w:val="auto"/>
        </w:rPr>
        <w:t xml:space="preserve">改造性拆除：因建筑结构形式调整、施工工艺优化、平台功能升级、设备改造或施工部署变化等原因，对平台局部进行拆除改造； </w:t>
      </w:r>
    </w:p>
    <w:p w14:paraId="77168D3F">
      <w:pPr>
        <w:ind w:firstLine="482" w:firstLineChars="200"/>
        <w:rPr>
          <w:color w:val="auto"/>
        </w:rPr>
      </w:pPr>
      <w:r>
        <w:rPr>
          <w:rFonts w:hint="eastAsia"/>
          <w:b/>
          <w:bCs/>
          <w:color w:val="auto"/>
        </w:rPr>
        <w:t>3</w:t>
      </w:r>
      <w:r>
        <w:rPr>
          <w:rFonts w:hint="eastAsia"/>
          <w:color w:val="auto"/>
          <w:lang w:val="en-US" w:eastAsia="zh-CN"/>
        </w:rPr>
        <w:t xml:space="preserve">  </w:t>
      </w:r>
      <w:r>
        <w:rPr>
          <w:rFonts w:hint="eastAsia"/>
          <w:color w:val="auto"/>
        </w:rPr>
        <w:t>到期报废拆除：平台主要承载构件、关键设备达到设计使用年限，或经检测评估不具备继续安全使用条件时进行的拆除。</w:t>
      </w:r>
    </w:p>
    <w:p w14:paraId="47B6F013">
      <w:pPr>
        <w:rPr>
          <w:color w:val="auto"/>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3</w:t>
      </w:r>
      <w:r>
        <w:rPr>
          <w:b/>
          <w:bCs/>
          <w:color w:val="000000" w:themeColor="text1"/>
          <w:kern w:val="0"/>
          <w:lang w:bidi="ar"/>
          <w14:textFill>
            <w14:solidFill>
              <w14:schemeClr w14:val="tx1"/>
            </w14:solidFill>
          </w14:textFill>
        </w:rPr>
        <w:t xml:space="preserve">  </w:t>
      </w:r>
      <w:r>
        <w:rPr>
          <w:rFonts w:hint="eastAsia"/>
          <w:color w:val="auto"/>
        </w:rPr>
        <w:t>集成平台存在下列情况之一时，应立即停用，经评估无法修复或无继续使用价值的，应实施拆除：</w:t>
      </w:r>
    </w:p>
    <w:p w14:paraId="23A6CF96">
      <w:pPr>
        <w:ind w:firstLine="482" w:firstLineChars="200"/>
        <w:rPr>
          <w:color w:val="auto"/>
        </w:rPr>
      </w:pPr>
      <w:r>
        <w:rPr>
          <w:rFonts w:hint="eastAsia"/>
          <w:b/>
          <w:bCs/>
          <w:color w:val="auto"/>
        </w:rPr>
        <w:t>1</w:t>
      </w:r>
      <w:r>
        <w:rPr>
          <w:rFonts w:hint="eastAsia"/>
          <w:b/>
          <w:bCs/>
          <w:color w:val="auto"/>
          <w:lang w:val="en-US" w:eastAsia="zh-CN"/>
        </w:rPr>
        <w:t xml:space="preserve">  </w:t>
      </w:r>
      <w:r>
        <w:rPr>
          <w:rFonts w:hint="eastAsia"/>
          <w:color w:val="auto"/>
        </w:rPr>
        <w:t>主要承载结构出现影响承载性能的塑性变形、结构损伤或严重腐蚀；</w:t>
      </w:r>
    </w:p>
    <w:p w14:paraId="3093C89C">
      <w:pPr>
        <w:ind w:firstLine="482" w:firstLineChars="200"/>
        <w:rPr>
          <w:color w:val="auto"/>
        </w:rPr>
      </w:pPr>
      <w:r>
        <w:rPr>
          <w:rFonts w:hint="eastAsia"/>
          <w:b/>
          <w:bCs/>
          <w:color w:val="auto"/>
        </w:rPr>
        <w:t>2</w:t>
      </w:r>
      <w:r>
        <w:rPr>
          <w:rFonts w:hint="eastAsia"/>
          <w:b/>
          <w:bCs/>
          <w:color w:val="auto"/>
          <w:lang w:val="en-US" w:eastAsia="zh-CN"/>
        </w:rPr>
        <w:t xml:space="preserve">  </w:t>
      </w:r>
      <w:r>
        <w:rPr>
          <w:rFonts w:hint="eastAsia"/>
          <w:color w:val="auto"/>
        </w:rPr>
        <w:t>关键连接节点存在影响安全使用的缺陷（如主受力焊缝开裂、连接螺栓变形或严重锈蚀等）；</w:t>
      </w:r>
    </w:p>
    <w:p w14:paraId="6C4CA08A">
      <w:pPr>
        <w:ind w:firstLine="482" w:firstLineChars="200"/>
        <w:rPr>
          <w:color w:val="auto"/>
        </w:rPr>
      </w:pPr>
      <w:r>
        <w:rPr>
          <w:rFonts w:hint="eastAsia"/>
          <w:b/>
          <w:bCs/>
          <w:color w:val="auto"/>
        </w:rPr>
        <w:t>3</w:t>
      </w:r>
      <w:r>
        <w:rPr>
          <w:rFonts w:hint="eastAsia"/>
          <w:b/>
          <w:bCs/>
          <w:color w:val="auto"/>
          <w:lang w:val="en-US" w:eastAsia="zh-CN"/>
        </w:rPr>
        <w:t xml:space="preserve">  </w:t>
      </w:r>
      <w:r>
        <w:rPr>
          <w:rFonts w:hint="eastAsia"/>
          <w:color w:val="auto"/>
        </w:rPr>
        <w:t>防坠落、防倾覆等核心安全保护装置失效，或液压、电气、同步控制系统等关键设备无法满足安全运行要求；</w:t>
      </w:r>
    </w:p>
    <w:p w14:paraId="03FC0B6E">
      <w:pPr>
        <w:ind w:firstLine="482" w:firstLineChars="200"/>
        <w:rPr>
          <w:color w:val="auto"/>
        </w:rPr>
      </w:pPr>
      <w:r>
        <w:rPr>
          <w:rFonts w:hint="eastAsia"/>
          <w:b/>
          <w:bCs/>
          <w:color w:val="auto"/>
        </w:rPr>
        <w:t>4</w:t>
      </w:r>
      <w:r>
        <w:rPr>
          <w:rFonts w:hint="eastAsia"/>
          <w:b/>
          <w:bCs/>
          <w:color w:val="auto"/>
          <w:lang w:val="en-US" w:eastAsia="zh-CN"/>
        </w:rPr>
        <w:t xml:space="preserve">  </w:t>
      </w:r>
      <w:r>
        <w:rPr>
          <w:rFonts w:hint="eastAsia"/>
          <w:color w:val="auto"/>
        </w:rPr>
        <w:t>经第三方检测或专项评估确认不具备安全使用条件的其他情形。</w:t>
      </w:r>
    </w:p>
    <w:p w14:paraId="4C56FC00">
      <w:pPr>
        <w:rPr>
          <w:color w:val="auto"/>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4</w:t>
      </w:r>
      <w:r>
        <w:rPr>
          <w:b/>
          <w:bCs/>
          <w:color w:val="000000" w:themeColor="text1"/>
          <w:kern w:val="0"/>
          <w:lang w:bidi="ar"/>
          <w14:textFill>
            <w14:solidFill>
              <w14:schemeClr w14:val="tx1"/>
            </w14:solidFill>
          </w14:textFill>
        </w:rPr>
        <w:t xml:space="preserve">  </w:t>
      </w:r>
      <w:r>
        <w:rPr>
          <w:rFonts w:hint="eastAsia"/>
          <w:color w:val="auto"/>
        </w:rPr>
        <w:t>拆除前技术与管理准备应符合下列规定：</w:t>
      </w:r>
    </w:p>
    <w:p w14:paraId="5766E962">
      <w:pPr>
        <w:ind w:firstLine="482" w:firstLineChars="200"/>
        <w:rPr>
          <w:color w:val="auto"/>
        </w:rPr>
      </w:pPr>
      <w:r>
        <w:rPr>
          <w:rFonts w:hint="eastAsia"/>
          <w:b/>
          <w:bCs/>
          <w:color w:val="auto"/>
        </w:rPr>
        <w:t>1</w:t>
      </w:r>
      <w:r>
        <w:rPr>
          <w:rFonts w:hint="eastAsia"/>
          <w:b/>
          <w:bCs/>
          <w:color w:val="auto"/>
          <w:lang w:val="en-US" w:eastAsia="zh-CN"/>
        </w:rPr>
        <w:t xml:space="preserve">  </w:t>
      </w:r>
      <w:r>
        <w:rPr>
          <w:rFonts w:hint="eastAsia"/>
          <w:color w:val="auto"/>
        </w:rPr>
        <w:t>收集并查验集成平台设计文件、安装验收资料、运行维护及历次检测记录；</w:t>
      </w:r>
    </w:p>
    <w:p w14:paraId="6B499528">
      <w:pPr>
        <w:ind w:firstLine="482" w:firstLineChars="200"/>
        <w:rPr>
          <w:color w:val="auto"/>
        </w:rPr>
      </w:pPr>
      <w:r>
        <w:rPr>
          <w:rFonts w:hint="eastAsia"/>
          <w:b/>
          <w:bCs/>
          <w:color w:val="auto"/>
        </w:rPr>
        <w:t>2</w:t>
      </w:r>
      <w:r>
        <w:rPr>
          <w:rFonts w:hint="eastAsia"/>
          <w:b/>
          <w:bCs/>
          <w:color w:val="auto"/>
          <w:lang w:val="en-US" w:eastAsia="zh-CN"/>
        </w:rPr>
        <w:t xml:space="preserve">  </w:t>
      </w:r>
      <w:r>
        <w:rPr>
          <w:rFonts w:hint="eastAsia"/>
          <w:color w:val="auto"/>
        </w:rPr>
        <w:t>专项拆除施工方案应已完成编制、审批及专家论证；</w:t>
      </w:r>
    </w:p>
    <w:p w14:paraId="615AFAA5">
      <w:pPr>
        <w:ind w:firstLine="482" w:firstLineChars="200"/>
        <w:rPr>
          <w:color w:val="auto"/>
        </w:rPr>
      </w:pPr>
      <w:r>
        <w:rPr>
          <w:rFonts w:hint="eastAsia"/>
          <w:b/>
          <w:bCs/>
          <w:color w:val="auto"/>
        </w:rPr>
        <w:t>3</w:t>
      </w:r>
      <w:r>
        <w:rPr>
          <w:rFonts w:hint="eastAsia"/>
          <w:b/>
          <w:bCs/>
          <w:color w:val="auto"/>
          <w:lang w:val="en-US" w:eastAsia="zh-CN"/>
        </w:rPr>
        <w:t xml:space="preserve">  </w:t>
      </w:r>
      <w:r>
        <w:rPr>
          <w:rFonts w:hint="eastAsia"/>
          <w:color w:val="auto"/>
        </w:rPr>
        <w:t>明确拆除作业人员及岗位职责，并完成针对性的拆除技术交底和安全交底，宜利用BIM模型或数字化管理平台开展拆除模拟及施工交底。</w:t>
      </w:r>
    </w:p>
    <w:p w14:paraId="38E48E5C">
      <w:pPr>
        <w:rPr>
          <w:color w:val="auto"/>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auto"/>
        </w:rPr>
        <w:t>5</w:t>
      </w:r>
      <w:r>
        <w:rPr>
          <w:rFonts w:hint="eastAsia"/>
          <w:color w:val="auto"/>
        </w:rPr>
        <w:t xml:space="preserve">  拆除前场地与外部准备应符合下列规定：</w:t>
      </w:r>
    </w:p>
    <w:p w14:paraId="4EDE8B12">
      <w:pPr>
        <w:ind w:firstLine="482" w:firstLineChars="200"/>
        <w:rPr>
          <w:color w:val="auto"/>
        </w:rPr>
      </w:pPr>
      <w:r>
        <w:rPr>
          <w:rFonts w:hint="eastAsia"/>
          <w:b/>
          <w:bCs/>
          <w:color w:val="auto"/>
        </w:rPr>
        <w:t>1</w:t>
      </w:r>
      <w:r>
        <w:rPr>
          <w:rFonts w:hint="eastAsia"/>
          <w:b/>
          <w:bCs/>
          <w:color w:val="auto"/>
          <w:lang w:val="en-US" w:eastAsia="zh-CN"/>
        </w:rPr>
        <w:t xml:space="preserve">  </w:t>
      </w:r>
      <w:r>
        <w:rPr>
          <w:rFonts w:hint="eastAsia"/>
          <w:color w:val="auto"/>
        </w:rPr>
        <w:t>落实拆除作业所需的起重、运输及辅助设备，并确认其工况符合安全要求；</w:t>
      </w:r>
    </w:p>
    <w:p w14:paraId="202C8EC1">
      <w:pPr>
        <w:ind w:firstLine="482" w:firstLineChars="200"/>
        <w:rPr>
          <w:color w:val="auto"/>
        </w:rPr>
      </w:pPr>
      <w:r>
        <w:rPr>
          <w:rFonts w:hint="eastAsia"/>
          <w:b/>
          <w:bCs/>
          <w:color w:val="auto"/>
        </w:rPr>
        <w:t>2</w:t>
      </w:r>
      <w:r>
        <w:rPr>
          <w:rFonts w:hint="eastAsia"/>
          <w:b/>
          <w:bCs/>
          <w:color w:val="auto"/>
          <w:lang w:val="en-US" w:eastAsia="zh-CN"/>
        </w:rPr>
        <w:t xml:space="preserve">  </w:t>
      </w:r>
      <w:r>
        <w:rPr>
          <w:rFonts w:hint="eastAsia"/>
          <w:color w:val="auto"/>
        </w:rPr>
        <w:t>在地面及拆除作业影响范围内划定警戒区域，设置明显的安全警示标志，并派专人监护。</w:t>
      </w:r>
    </w:p>
    <w:p w14:paraId="45210238">
      <w:pPr>
        <w:rPr>
          <w:color w:val="auto"/>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auto"/>
        </w:rPr>
        <w:t>6</w:t>
      </w:r>
      <w:r>
        <w:rPr>
          <w:rFonts w:hint="eastAsia"/>
          <w:color w:val="auto"/>
        </w:rPr>
        <w:t xml:space="preserve">  拆除集成平台前状态确认与实体检查等拆除准备工作应符合下列规定：</w:t>
      </w:r>
    </w:p>
    <w:p w14:paraId="1AF7D457">
      <w:pPr>
        <w:ind w:firstLine="482" w:firstLineChars="200"/>
        <w:rPr>
          <w:color w:val="auto"/>
        </w:rPr>
      </w:pPr>
      <w:r>
        <w:rPr>
          <w:rFonts w:hint="eastAsia"/>
          <w:b/>
          <w:bCs/>
          <w:color w:val="auto"/>
        </w:rPr>
        <w:t>1</w:t>
      </w:r>
      <w:r>
        <w:rPr>
          <w:rFonts w:hint="eastAsia"/>
          <w:b/>
          <w:bCs/>
          <w:color w:val="auto"/>
          <w:lang w:val="en-US" w:eastAsia="zh-CN"/>
        </w:rPr>
        <w:t xml:space="preserve">  </w:t>
      </w:r>
      <w:r>
        <w:rPr>
          <w:rFonts w:hint="eastAsia"/>
          <w:color w:val="auto"/>
        </w:rPr>
        <w:t>全面清理集成平台荷载，移除施工材料、机具、建筑垃圾及其他附加载荷，确认集成平台处于无作业状态；</w:t>
      </w:r>
    </w:p>
    <w:p w14:paraId="132FF95C">
      <w:pPr>
        <w:ind w:firstLine="482" w:firstLineChars="200"/>
        <w:rPr>
          <w:color w:val="auto"/>
        </w:rPr>
      </w:pPr>
      <w:r>
        <w:rPr>
          <w:rFonts w:hint="eastAsia"/>
          <w:b/>
          <w:bCs/>
          <w:color w:val="auto"/>
        </w:rPr>
        <w:t>2</w:t>
      </w:r>
      <w:r>
        <w:rPr>
          <w:rFonts w:hint="eastAsia"/>
          <w:b/>
          <w:bCs/>
          <w:color w:val="auto"/>
          <w:lang w:val="en-US" w:eastAsia="zh-CN"/>
        </w:rPr>
        <w:t xml:space="preserve">  </w:t>
      </w:r>
      <w:r>
        <w:rPr>
          <w:rFonts w:hint="eastAsia"/>
          <w:color w:val="auto"/>
        </w:rPr>
        <w:t>对集成平台当前状态进行全面查验，检查内容应至少包括：主体结构及承载构件、关键连接节点及附着装置、顶升与液压系统、电气与智能控制系统、通信系统，以及安全防护设施的完整性。</w:t>
      </w:r>
    </w:p>
    <w:p w14:paraId="57997F4B">
      <w:pPr>
        <w:ind w:firstLine="482" w:firstLineChars="200"/>
        <w:rPr>
          <w:color w:val="auto"/>
        </w:rPr>
      </w:pPr>
      <w:r>
        <w:rPr>
          <w:rFonts w:hint="eastAsia"/>
          <w:b/>
          <w:bCs/>
          <w:color w:val="auto"/>
        </w:rPr>
        <w:t>3</w:t>
      </w:r>
      <w:r>
        <w:rPr>
          <w:rFonts w:hint="eastAsia"/>
          <w:b/>
          <w:bCs/>
          <w:color w:val="auto"/>
          <w:lang w:val="en-US" w:eastAsia="zh-CN"/>
        </w:rPr>
        <w:t xml:space="preserve">  </w:t>
      </w:r>
      <w:r>
        <w:rPr>
          <w:rFonts w:hint="eastAsia"/>
          <w:color w:val="auto"/>
        </w:rPr>
        <w:t>拆除前应开展集成平台安全状态评估，包括结构性能、液压系统、电气控制系统、安全保护装置及附着系统检查，形成评估报告。评估报告宜包括</w:t>
      </w:r>
      <w:r>
        <w:rPr>
          <w:color w:val="auto"/>
        </w:rPr>
        <w:t>结构承载力验算、附着支座受力校核、液压 / 电气系统功能性检测、拆除工况风险分析、可拆除判定结论</w:t>
      </w:r>
      <w:r>
        <w:rPr>
          <w:rFonts w:hint="eastAsia"/>
          <w:color w:val="auto"/>
        </w:rPr>
        <w:t>等。</w:t>
      </w:r>
    </w:p>
    <w:p w14:paraId="59FA8E4B">
      <w:pPr>
        <w:rPr>
          <w:color w:val="auto"/>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auto"/>
        </w:rPr>
        <w:t>7</w:t>
      </w:r>
      <w:r>
        <w:rPr>
          <w:rFonts w:hint="eastAsia"/>
          <w:color w:val="auto"/>
        </w:rPr>
        <w:t xml:space="preserve">  集成平台拆除宜采用数字化管理手段。 宜通过智能控制系统同步记录拆除过程中的设备状态、关键受力节点监测数据及系统操作信息，形成数字档案，实现拆除过程的安全预警与可追溯管理。</w:t>
      </w:r>
    </w:p>
    <w:p w14:paraId="7CE6EB88">
      <w:pPr>
        <w:rPr>
          <w:color w:val="auto"/>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auto"/>
        </w:rPr>
        <w:t>8</w:t>
      </w:r>
      <w:r>
        <w:rPr>
          <w:rFonts w:hint="eastAsia"/>
          <w:color w:val="auto"/>
        </w:rPr>
        <w:t xml:space="preserve">  施工集成平台的拆除应贯彻绿色施工理念，优先采取保护性拆除工艺，最大程度减少损伤性作业，保障结构构件及机电设备的完整性，满足构件重复利用及环保要求。</w:t>
      </w:r>
    </w:p>
    <w:p w14:paraId="76A696ED">
      <w:pPr>
        <w:pStyle w:val="3"/>
        <w:bidi w:val="0"/>
        <w:rPr>
          <w:rFonts w:hint="eastAsia"/>
          <w:b/>
          <w:bCs/>
          <w:color w:val="auto"/>
          <w:kern w:val="0"/>
          <w:lang w:bidi="ar"/>
        </w:rPr>
      </w:pPr>
      <w:bookmarkStart w:id="188" w:name="_Toc31605"/>
      <w:r>
        <w:rPr>
          <w:rFonts w:hint="eastAsia"/>
          <w:color w:val="000000" w:themeColor="text1"/>
          <w:lang w:val="en-US" w:eastAsia="zh-CN"/>
          <w14:textFill>
            <w14:solidFill>
              <w14:schemeClr w14:val="tx1"/>
            </w14:solidFill>
          </w14:textFill>
        </w:rPr>
        <w:t>11</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拆除工艺流程</w:t>
      </w:r>
      <w:bookmarkEnd w:id="188"/>
    </w:p>
    <w:p w14:paraId="519D622D">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2</w:t>
      </w:r>
      <w:r>
        <w:rPr>
          <w:b/>
          <w:bCs/>
          <w:color w:val="auto"/>
          <w:kern w:val="0"/>
          <w:lang w:bidi="ar"/>
        </w:rPr>
        <w:t>.</w:t>
      </w:r>
      <w:r>
        <w:rPr>
          <w:rFonts w:hint="eastAsia"/>
          <w:b/>
          <w:bCs/>
          <w:color w:val="auto"/>
          <w:kern w:val="0"/>
          <w:lang w:val="en-US" w:eastAsia="zh-CN" w:bidi="ar"/>
        </w:rPr>
        <w:t>1</w:t>
      </w:r>
      <w:r>
        <w:rPr>
          <w:rFonts w:hint="eastAsia"/>
          <w:color w:val="auto"/>
          <w:kern w:val="0"/>
          <w:lang w:bidi="ar"/>
        </w:rPr>
        <w:t xml:space="preserve">  </w:t>
      </w:r>
      <w:r>
        <w:rPr>
          <w:color w:val="auto"/>
          <w:kern w:val="0"/>
          <w:lang w:bidi="ar"/>
        </w:rPr>
        <w:t>集成平台的拆除应根据专项拆除施工方案确定拆除顺序、拆除工艺及构件转运路径。拆除作业应严格遵循</w:t>
      </w:r>
      <w:r>
        <w:rPr>
          <w:rFonts w:hint="eastAsia"/>
          <w:color w:val="auto"/>
          <w:kern w:val="0"/>
          <w:lang w:bidi="ar"/>
        </w:rPr>
        <w:t>“</w:t>
      </w:r>
      <w:r>
        <w:rPr>
          <w:color w:val="auto"/>
          <w:kern w:val="0"/>
          <w:lang w:bidi="ar"/>
        </w:rPr>
        <w:t>先加固、后拆除</w:t>
      </w:r>
      <w:r>
        <w:rPr>
          <w:rFonts w:hint="eastAsia"/>
          <w:color w:val="auto"/>
          <w:kern w:val="0"/>
          <w:lang w:bidi="ar"/>
        </w:rPr>
        <w:t>，</w:t>
      </w:r>
      <w:r>
        <w:rPr>
          <w:color w:val="auto"/>
          <w:kern w:val="0"/>
          <w:lang w:bidi="ar"/>
        </w:rPr>
        <w:t>先装后拆、后装先拆</w:t>
      </w:r>
      <w:r>
        <w:rPr>
          <w:rFonts w:hint="eastAsia"/>
          <w:color w:val="auto"/>
          <w:kern w:val="0"/>
          <w:lang w:bidi="ar"/>
        </w:rPr>
        <w:t>”</w:t>
      </w:r>
      <w:r>
        <w:rPr>
          <w:color w:val="auto"/>
          <w:kern w:val="0"/>
          <w:lang w:bidi="ar"/>
        </w:rPr>
        <w:t>的基本原则</w:t>
      </w:r>
      <w:r>
        <w:rPr>
          <w:rFonts w:hint="eastAsia"/>
          <w:color w:val="auto"/>
          <w:kern w:val="0"/>
          <w:lang w:bidi="ar"/>
        </w:rPr>
        <w:t>，</w:t>
      </w:r>
      <w:r>
        <w:rPr>
          <w:color w:val="auto"/>
          <w:kern w:val="0"/>
          <w:lang w:bidi="ar"/>
        </w:rPr>
        <w:t>具体拆除顺序应符合下列规定：</w:t>
      </w:r>
    </w:p>
    <w:p w14:paraId="06AA1BBB">
      <w:pPr>
        <w:widowControl/>
        <w:ind w:firstLine="482" w:firstLineChars="200"/>
        <w:rPr>
          <w:color w:val="auto"/>
          <w:kern w:val="0"/>
          <w:lang w:bidi="ar"/>
        </w:rPr>
      </w:pPr>
      <w:r>
        <w:rPr>
          <w:rFonts w:hint="eastAsia"/>
          <w:b/>
          <w:bCs/>
          <w:color w:val="auto"/>
        </w:rPr>
        <w:t>1</w:t>
      </w:r>
      <w:r>
        <w:rPr>
          <w:rFonts w:hint="eastAsia"/>
          <w:b/>
          <w:bCs/>
          <w:color w:val="auto"/>
          <w:lang w:val="en-US" w:eastAsia="zh-CN"/>
        </w:rPr>
        <w:t xml:space="preserve">  </w:t>
      </w:r>
      <w:r>
        <w:rPr>
          <w:color w:val="auto"/>
          <w:kern w:val="0"/>
          <w:lang w:bidi="ar"/>
        </w:rPr>
        <w:t>按系统主次：先拆附属设施、后拆主体结构</w:t>
      </w:r>
      <w:r>
        <w:rPr>
          <w:rFonts w:hint="eastAsia"/>
          <w:color w:val="auto"/>
          <w:kern w:val="0"/>
          <w:lang w:bidi="ar"/>
        </w:rPr>
        <w:t>；</w:t>
      </w:r>
      <w:r>
        <w:rPr>
          <w:color w:val="auto"/>
          <w:kern w:val="0"/>
          <w:lang w:bidi="ar"/>
        </w:rPr>
        <w:t>先拆次要结构、后拆主要结构</w:t>
      </w:r>
      <w:r>
        <w:rPr>
          <w:rFonts w:hint="eastAsia"/>
          <w:color w:val="auto"/>
          <w:kern w:val="0"/>
          <w:lang w:bidi="ar"/>
        </w:rPr>
        <w:t>；</w:t>
      </w:r>
    </w:p>
    <w:p w14:paraId="73103A8E">
      <w:pPr>
        <w:widowControl/>
        <w:ind w:firstLine="482" w:firstLineChars="200"/>
        <w:rPr>
          <w:color w:val="auto"/>
          <w:kern w:val="0"/>
          <w:lang w:bidi="ar"/>
        </w:rPr>
      </w:pPr>
      <w:r>
        <w:rPr>
          <w:b/>
          <w:bCs/>
          <w:color w:val="auto"/>
          <w:kern w:val="0"/>
          <w:lang w:bidi="ar"/>
        </w:rPr>
        <w:t>2</w:t>
      </w:r>
      <w:r>
        <w:rPr>
          <w:rFonts w:hint="eastAsia"/>
          <w:b/>
          <w:bCs/>
          <w:color w:val="auto"/>
          <w:kern w:val="0"/>
          <w:lang w:val="en-US" w:eastAsia="zh-CN" w:bidi="ar"/>
        </w:rPr>
        <w:t xml:space="preserve">  </w:t>
      </w:r>
      <w:r>
        <w:rPr>
          <w:color w:val="auto"/>
          <w:kern w:val="0"/>
          <w:lang w:bidi="ar"/>
        </w:rPr>
        <w:t>按受力特征：先拆非承重结构（构件）、后拆承重结构（构件）</w:t>
      </w:r>
      <w:r>
        <w:rPr>
          <w:rFonts w:hint="eastAsia"/>
          <w:color w:val="auto"/>
          <w:kern w:val="0"/>
          <w:lang w:bidi="ar"/>
        </w:rPr>
        <w:t>；</w:t>
      </w:r>
    </w:p>
    <w:p w14:paraId="3B1D35D7">
      <w:pPr>
        <w:widowControl/>
        <w:ind w:firstLine="482" w:firstLineChars="200"/>
        <w:rPr>
          <w:color w:val="auto"/>
          <w:kern w:val="0"/>
          <w:lang w:bidi="ar"/>
        </w:rPr>
      </w:pPr>
      <w:r>
        <w:rPr>
          <w:b/>
          <w:bCs/>
          <w:color w:val="auto"/>
          <w:kern w:val="0"/>
          <w:lang w:bidi="ar"/>
        </w:rPr>
        <w:t>3</w:t>
      </w:r>
      <w:r>
        <w:rPr>
          <w:rFonts w:hint="eastAsia"/>
          <w:b/>
          <w:bCs/>
          <w:color w:val="auto"/>
          <w:kern w:val="0"/>
          <w:lang w:val="en-US" w:eastAsia="zh-CN" w:bidi="ar"/>
        </w:rPr>
        <w:t xml:space="preserve">  </w:t>
      </w:r>
      <w:r>
        <w:rPr>
          <w:color w:val="auto"/>
          <w:kern w:val="0"/>
          <w:lang w:bidi="ar"/>
        </w:rPr>
        <w:t>按空间位置：先拆水平结构、后拆竖向结构</w:t>
      </w:r>
      <w:r>
        <w:rPr>
          <w:rFonts w:hint="eastAsia"/>
          <w:color w:val="auto"/>
          <w:kern w:val="0"/>
          <w:lang w:bidi="ar"/>
        </w:rPr>
        <w:t>；</w:t>
      </w:r>
    </w:p>
    <w:p w14:paraId="7C6D10E3">
      <w:pPr>
        <w:widowControl/>
        <w:ind w:firstLine="482" w:firstLineChars="200"/>
        <w:rPr>
          <w:color w:val="auto"/>
          <w:kern w:val="0"/>
          <w:lang w:bidi="ar"/>
        </w:rPr>
      </w:pPr>
      <w:r>
        <w:rPr>
          <w:b/>
          <w:bCs/>
          <w:color w:val="auto"/>
          <w:kern w:val="0"/>
          <w:lang w:bidi="ar"/>
        </w:rPr>
        <w:t>4</w:t>
      </w:r>
      <w:r>
        <w:rPr>
          <w:rFonts w:hint="eastAsia"/>
          <w:b/>
          <w:bCs/>
          <w:color w:val="auto"/>
          <w:kern w:val="0"/>
          <w:lang w:val="en-US" w:eastAsia="zh-CN" w:bidi="ar"/>
        </w:rPr>
        <w:t xml:space="preserve">  </w:t>
      </w:r>
      <w:r>
        <w:rPr>
          <w:color w:val="auto"/>
          <w:kern w:val="0"/>
          <w:lang w:bidi="ar"/>
        </w:rPr>
        <w:t>按作业工法：保持对称、均衡拆卸</w:t>
      </w:r>
      <w:r>
        <w:rPr>
          <w:rFonts w:hint="eastAsia"/>
          <w:color w:val="auto"/>
          <w:kern w:val="0"/>
          <w:lang w:bidi="ar"/>
        </w:rPr>
        <w:t>，</w:t>
      </w:r>
      <w:r>
        <w:rPr>
          <w:color w:val="auto"/>
          <w:kern w:val="0"/>
          <w:lang w:bidi="ar"/>
        </w:rPr>
        <w:t>严禁单侧突击拆卸或局部集中卸载。</w:t>
      </w:r>
    </w:p>
    <w:p w14:paraId="557F8054">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2</w:t>
      </w:r>
      <w:r>
        <w:rPr>
          <w:b/>
          <w:bCs/>
          <w:color w:val="auto"/>
          <w:kern w:val="0"/>
          <w:lang w:bidi="ar"/>
        </w:rPr>
        <w:t>.</w:t>
      </w:r>
      <w:r>
        <w:rPr>
          <w:rFonts w:hint="eastAsia"/>
          <w:b/>
          <w:bCs/>
          <w:color w:val="auto"/>
          <w:kern w:val="0"/>
          <w:lang w:bidi="ar"/>
        </w:rPr>
        <w:t>2</w:t>
      </w:r>
      <w:r>
        <w:rPr>
          <w:rFonts w:hint="eastAsia"/>
          <w:color w:val="auto"/>
          <w:kern w:val="0"/>
          <w:lang w:bidi="ar"/>
        </w:rPr>
        <w:t xml:space="preserve">  </w:t>
      </w:r>
      <w:r>
        <w:rPr>
          <w:color w:val="auto"/>
          <w:kern w:val="0"/>
          <w:lang w:bidi="ar"/>
        </w:rPr>
        <w:t>集成平台</w:t>
      </w:r>
      <w:r>
        <w:rPr>
          <w:rFonts w:hint="eastAsia"/>
          <w:color w:val="auto"/>
          <w:kern w:val="0"/>
          <w:lang w:bidi="ar"/>
        </w:rPr>
        <w:t>项目完工</w:t>
      </w:r>
      <w:r>
        <w:rPr>
          <w:color w:val="auto"/>
          <w:kern w:val="0"/>
          <w:lang w:bidi="ar"/>
        </w:rPr>
        <w:t>拆除宜按以下工艺流程进行：</w:t>
      </w:r>
    </w:p>
    <w:p w14:paraId="1C6ECE20">
      <w:pPr>
        <w:widowControl/>
        <w:ind w:firstLine="480" w:firstLineChars="200"/>
        <w:jc w:val="center"/>
        <w:rPr>
          <w:color w:val="auto"/>
          <w:kern w:val="0"/>
          <w:lang w:bidi="ar"/>
        </w:rPr>
      </w:pPr>
      <w:r>
        <w:rPr>
          <w:color w:val="auto"/>
        </w:rPr>
        <w:drawing>
          <wp:inline distT="0" distB="0" distL="114300" distR="114300">
            <wp:extent cx="3103880" cy="2662555"/>
            <wp:effectExtent l="0" t="0" r="762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3103880" cy="2662555"/>
                    </a:xfrm>
                    <a:prstGeom prst="rect">
                      <a:avLst/>
                    </a:prstGeom>
                    <a:noFill/>
                    <a:ln>
                      <a:noFill/>
                    </a:ln>
                  </pic:spPr>
                </pic:pic>
              </a:graphicData>
            </a:graphic>
          </wp:inline>
        </w:drawing>
      </w:r>
    </w:p>
    <w:p w14:paraId="18B6E0C1">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2</w:t>
      </w:r>
      <w:r>
        <w:rPr>
          <w:b/>
          <w:bCs/>
          <w:color w:val="auto"/>
          <w:kern w:val="0"/>
          <w:lang w:bidi="ar"/>
        </w:rPr>
        <w:t>.</w:t>
      </w:r>
      <w:r>
        <w:rPr>
          <w:rFonts w:hint="eastAsia"/>
          <w:b/>
          <w:bCs/>
          <w:color w:val="auto"/>
          <w:kern w:val="0"/>
          <w:lang w:bidi="ar"/>
        </w:rPr>
        <w:t>3</w:t>
      </w:r>
      <w:r>
        <w:rPr>
          <w:rFonts w:hint="eastAsia"/>
          <w:color w:val="auto"/>
          <w:kern w:val="0"/>
          <w:lang w:bidi="ar"/>
        </w:rPr>
        <w:t xml:space="preserve">  </w:t>
      </w:r>
      <w:r>
        <w:rPr>
          <w:color w:val="auto"/>
          <w:kern w:val="0"/>
          <w:lang w:bidi="ar"/>
        </w:rPr>
        <w:t>集成</w:t>
      </w:r>
      <w:r>
        <w:rPr>
          <w:rFonts w:hint="eastAsia"/>
          <w:color w:val="auto"/>
          <w:kern w:val="0"/>
          <w:lang w:bidi="ar"/>
        </w:rPr>
        <w:t>平台</w:t>
      </w:r>
      <w:r>
        <w:rPr>
          <w:color w:val="auto"/>
          <w:kern w:val="0"/>
          <w:lang w:bidi="ar"/>
        </w:rPr>
        <w:t>改造性拆除不得降低原结构安全性能，不得改变主要承载体系；涉及主体结构体系变化时，应重新进行安全验算</w:t>
      </w:r>
      <w:r>
        <w:rPr>
          <w:rFonts w:hint="eastAsia"/>
          <w:color w:val="auto"/>
          <w:kern w:val="0"/>
          <w:lang w:bidi="ar"/>
        </w:rPr>
        <w:t>，</w:t>
      </w:r>
      <w:r>
        <w:rPr>
          <w:color w:val="auto"/>
          <w:kern w:val="0"/>
          <w:lang w:bidi="ar"/>
        </w:rPr>
        <w:t>宜按以下工艺流程进行</w:t>
      </w:r>
      <w:r>
        <w:rPr>
          <w:rFonts w:hint="eastAsia"/>
          <w:color w:val="auto"/>
          <w:kern w:val="0"/>
          <w:lang w:bidi="ar"/>
        </w:rPr>
        <w:t>：</w:t>
      </w:r>
    </w:p>
    <w:p w14:paraId="1A619F20">
      <w:pPr>
        <w:widowControl/>
        <w:ind w:firstLine="480" w:firstLineChars="200"/>
        <w:jc w:val="center"/>
        <w:rPr>
          <w:color w:val="auto"/>
          <w:kern w:val="0"/>
          <w:lang w:bidi="ar"/>
        </w:rPr>
      </w:pPr>
      <w:r>
        <w:rPr>
          <w:color w:val="auto"/>
        </w:rPr>
        <w:drawing>
          <wp:inline distT="0" distB="0" distL="114300" distR="114300">
            <wp:extent cx="2101850" cy="2754630"/>
            <wp:effectExtent l="0" t="0" r="635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a:stretch>
                      <a:fillRect/>
                    </a:stretch>
                  </pic:blipFill>
                  <pic:spPr>
                    <a:xfrm>
                      <a:off x="0" y="0"/>
                      <a:ext cx="2101850" cy="2754630"/>
                    </a:xfrm>
                    <a:prstGeom prst="rect">
                      <a:avLst/>
                    </a:prstGeom>
                    <a:noFill/>
                    <a:ln>
                      <a:noFill/>
                    </a:ln>
                  </pic:spPr>
                </pic:pic>
              </a:graphicData>
            </a:graphic>
          </wp:inline>
        </w:drawing>
      </w:r>
    </w:p>
    <w:p w14:paraId="7793218F">
      <w:pPr>
        <w:pStyle w:val="3"/>
        <w:bidi w:val="0"/>
        <w:rPr>
          <w:rFonts w:hint="eastAsia"/>
          <w:b/>
          <w:bCs/>
          <w:color w:val="auto"/>
          <w:kern w:val="0"/>
          <w:lang w:bidi="ar"/>
        </w:rPr>
      </w:pPr>
      <w:bookmarkStart w:id="189" w:name="_Toc30837"/>
      <w:r>
        <w:rPr>
          <w:rFonts w:hint="eastAsia"/>
          <w:color w:val="000000" w:themeColor="text1"/>
          <w:lang w:val="en-US" w:eastAsia="zh-CN"/>
          <w14:textFill>
            <w14:solidFill>
              <w14:schemeClr w14:val="tx1"/>
            </w14:solidFill>
          </w14:textFill>
        </w:rPr>
        <w:t>11</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拆除施工工艺控制要点</w:t>
      </w:r>
      <w:bookmarkEnd w:id="189"/>
    </w:p>
    <w:p w14:paraId="77C22CC9">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3</w:t>
      </w:r>
      <w:r>
        <w:rPr>
          <w:b/>
          <w:bCs/>
          <w:color w:val="auto"/>
          <w:kern w:val="0"/>
          <w:lang w:bidi="ar"/>
        </w:rPr>
        <w:t>.</w:t>
      </w:r>
      <w:r>
        <w:rPr>
          <w:rFonts w:hint="eastAsia"/>
          <w:b/>
          <w:bCs/>
          <w:color w:val="auto"/>
          <w:kern w:val="0"/>
          <w:lang w:val="en-US" w:eastAsia="zh-CN" w:bidi="ar"/>
        </w:rPr>
        <w:t>1</w:t>
      </w:r>
      <w:r>
        <w:rPr>
          <w:b/>
          <w:bCs/>
          <w:color w:val="auto"/>
          <w:kern w:val="0"/>
          <w:lang w:bidi="ar"/>
        </w:rPr>
        <w:t xml:space="preserve">  </w:t>
      </w:r>
      <w:r>
        <w:rPr>
          <w:rFonts w:hint="eastAsia"/>
          <w:color w:val="auto"/>
          <w:kern w:val="0"/>
          <w:lang w:bidi="ar"/>
        </w:rPr>
        <w:t>集成平台拆卸前，应对构件进行统一编号，并合理划分拆卸单元。拆卸单元的分段划分及单元重量</w:t>
      </w:r>
      <w:r>
        <w:rPr>
          <w:color w:val="auto"/>
          <w:kern w:val="0"/>
          <w:lang w:bidi="ar"/>
        </w:rPr>
        <w:t>必须</w:t>
      </w:r>
      <w:r>
        <w:rPr>
          <w:rFonts w:hint="eastAsia"/>
          <w:color w:val="auto"/>
          <w:kern w:val="0"/>
          <w:lang w:bidi="ar"/>
        </w:rPr>
        <w:t>严格匹配现场起重设备的吊装能力及吊装工艺。拆卸后的各构件应分类堆放、妥善保管；对可周转使用的构件，应采取可靠的防变形、防损伤等保护措施。</w:t>
      </w:r>
    </w:p>
    <w:p w14:paraId="71CA78BF">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3</w:t>
      </w:r>
      <w:r>
        <w:rPr>
          <w:b/>
          <w:bCs/>
          <w:color w:val="auto"/>
          <w:kern w:val="0"/>
          <w:lang w:bidi="ar"/>
        </w:rPr>
        <w:t>.</w:t>
      </w:r>
      <w:r>
        <w:rPr>
          <w:rFonts w:hint="eastAsia"/>
          <w:b/>
          <w:bCs/>
          <w:color w:val="auto"/>
          <w:kern w:val="0"/>
          <w:lang w:bidi="ar"/>
        </w:rPr>
        <w:t>2</w:t>
      </w:r>
      <w:r>
        <w:rPr>
          <w:rFonts w:hint="eastAsia"/>
          <w:color w:val="auto"/>
          <w:kern w:val="0"/>
          <w:lang w:bidi="ar"/>
        </w:rPr>
        <w:t xml:space="preserve">  集成平台液压控制系统的拆卸应符合下列规定：</w:t>
      </w:r>
    </w:p>
    <w:p w14:paraId="121A600E">
      <w:pPr>
        <w:widowControl/>
        <w:ind w:firstLine="482" w:firstLineChars="200"/>
        <w:rPr>
          <w:color w:val="auto"/>
          <w:kern w:val="0"/>
          <w:lang w:bidi="ar"/>
        </w:rPr>
      </w:pPr>
      <w:r>
        <w:rPr>
          <w:rFonts w:hint="eastAsia"/>
          <w:b/>
          <w:bCs/>
          <w:color w:val="auto"/>
          <w:kern w:val="0"/>
          <w:lang w:bidi="ar"/>
        </w:rPr>
        <w:t>1</w:t>
      </w:r>
      <w:r>
        <w:rPr>
          <w:rFonts w:hint="eastAsia"/>
          <w:b/>
          <w:bCs/>
          <w:color w:val="auto"/>
          <w:kern w:val="0"/>
          <w:lang w:val="en-US" w:eastAsia="zh-CN" w:bidi="ar"/>
        </w:rPr>
        <w:t xml:space="preserve">  </w:t>
      </w:r>
      <w:r>
        <w:rPr>
          <w:rFonts w:hint="eastAsia"/>
          <w:color w:val="auto"/>
          <w:kern w:val="0"/>
          <w:lang w:bidi="ar"/>
        </w:rPr>
        <w:t>泄压与排油：拆除作业前，必须使油缸活塞杆全部缩回到缸筒内，应通过调节溢流阀逐步分级释放管路内部压力。管路及泵站内部的残余液压油应提前进行疏导并排净，回收时应使用专用油箱，严禁液压油散流污染现场环境。</w:t>
      </w:r>
    </w:p>
    <w:p w14:paraId="02A919B1">
      <w:pPr>
        <w:widowControl/>
        <w:ind w:firstLine="482" w:firstLineChars="200"/>
        <w:rPr>
          <w:color w:val="auto"/>
          <w:kern w:val="0"/>
          <w:lang w:bidi="ar"/>
        </w:rPr>
      </w:pPr>
      <w:r>
        <w:rPr>
          <w:rFonts w:hint="eastAsia"/>
          <w:b/>
          <w:bCs/>
          <w:color w:val="auto"/>
          <w:kern w:val="0"/>
          <w:lang w:bidi="ar"/>
        </w:rPr>
        <w:t>2</w:t>
      </w:r>
      <w:r>
        <w:rPr>
          <w:rFonts w:hint="eastAsia"/>
          <w:b/>
          <w:bCs/>
          <w:color w:val="auto"/>
          <w:kern w:val="0"/>
          <w:lang w:val="en-US" w:eastAsia="zh-CN" w:bidi="ar"/>
        </w:rPr>
        <w:t xml:space="preserve">  </w:t>
      </w:r>
      <w:r>
        <w:rPr>
          <w:rFonts w:hint="eastAsia"/>
          <w:color w:val="auto"/>
          <w:kern w:val="0"/>
          <w:lang w:bidi="ar"/>
        </w:rPr>
        <w:t>管路拆卸：油管拆除应遵循“先支油管，后主油管”的原则，拆除后各管路应封闭接口、分类存放。</w:t>
      </w:r>
    </w:p>
    <w:p w14:paraId="62547B10">
      <w:pPr>
        <w:widowControl/>
        <w:ind w:firstLine="482" w:firstLineChars="200"/>
        <w:rPr>
          <w:color w:val="auto"/>
          <w:kern w:val="0"/>
          <w:lang w:bidi="ar"/>
        </w:rPr>
      </w:pPr>
      <w:r>
        <w:rPr>
          <w:rFonts w:hint="eastAsia"/>
          <w:b/>
          <w:bCs/>
          <w:color w:val="auto"/>
          <w:kern w:val="0"/>
          <w:lang w:bidi="ar"/>
        </w:rPr>
        <w:t>3</w:t>
      </w:r>
      <w:r>
        <w:rPr>
          <w:rFonts w:hint="eastAsia"/>
          <w:b/>
          <w:bCs/>
          <w:color w:val="auto"/>
          <w:kern w:val="0"/>
          <w:lang w:val="en-US" w:eastAsia="zh-CN" w:bidi="ar"/>
        </w:rPr>
        <w:t xml:space="preserve">  </w:t>
      </w:r>
      <w:r>
        <w:rPr>
          <w:rFonts w:hint="eastAsia"/>
          <w:color w:val="auto"/>
          <w:kern w:val="0"/>
          <w:lang w:bidi="ar"/>
        </w:rPr>
        <w:t>油缸及泵站拆卸：各油缸拆除前接口应锁死、封闭，起重吊装前，应对油缸采取可靠的机械加固措施，严防吊运过程中活塞杆因自重或振动发生意外伸出或位移。泵站拆除前应确保内部液压油已完全清除。</w:t>
      </w:r>
    </w:p>
    <w:p w14:paraId="5A87B0A7">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3</w:t>
      </w:r>
      <w:r>
        <w:rPr>
          <w:b/>
          <w:bCs/>
          <w:color w:val="auto"/>
          <w:kern w:val="0"/>
          <w:lang w:bidi="ar"/>
        </w:rPr>
        <w:t>.</w:t>
      </w:r>
      <w:r>
        <w:rPr>
          <w:rFonts w:hint="eastAsia"/>
          <w:b/>
          <w:bCs/>
          <w:color w:val="auto"/>
          <w:kern w:val="0"/>
          <w:lang w:bidi="ar"/>
        </w:rPr>
        <w:t>3</w:t>
      </w:r>
      <w:r>
        <w:rPr>
          <w:rFonts w:hint="eastAsia"/>
          <w:color w:val="auto"/>
          <w:kern w:val="0"/>
          <w:lang w:bidi="ar"/>
        </w:rPr>
        <w:t xml:space="preserve">  集成平台支</w:t>
      </w:r>
      <w:r>
        <w:rPr>
          <w:rFonts w:hint="eastAsia"/>
          <w:color w:val="auto"/>
          <w:kern w:val="0"/>
          <w:lang w:val="en-US" w:eastAsia="zh-CN" w:bidi="ar"/>
        </w:rPr>
        <w:t>承</w:t>
      </w:r>
      <w:r>
        <w:rPr>
          <w:rFonts w:hint="eastAsia"/>
          <w:color w:val="auto"/>
          <w:kern w:val="0"/>
          <w:lang w:bidi="ar"/>
        </w:rPr>
        <w:t>系统及吊装模块的加固，应符合下列规定：</w:t>
      </w:r>
    </w:p>
    <w:p w14:paraId="7211131E">
      <w:pPr>
        <w:widowControl/>
        <w:ind w:firstLine="482" w:firstLineChars="200"/>
        <w:rPr>
          <w:color w:val="auto"/>
          <w:kern w:val="0"/>
          <w:lang w:bidi="ar"/>
        </w:rPr>
      </w:pPr>
      <w:r>
        <w:rPr>
          <w:rFonts w:hint="eastAsia"/>
          <w:b/>
          <w:bCs/>
          <w:color w:val="auto"/>
          <w:kern w:val="0"/>
          <w:lang w:bidi="ar"/>
        </w:rPr>
        <w:t>1</w:t>
      </w:r>
      <w:r>
        <w:rPr>
          <w:rFonts w:hint="eastAsia"/>
          <w:b/>
          <w:bCs/>
          <w:color w:val="auto"/>
          <w:kern w:val="0"/>
          <w:lang w:val="en-US" w:eastAsia="zh-CN" w:bidi="ar"/>
        </w:rPr>
        <w:t xml:space="preserve">  </w:t>
      </w:r>
      <w:r>
        <w:rPr>
          <w:rFonts w:hint="eastAsia"/>
          <w:color w:val="auto"/>
          <w:kern w:val="0"/>
          <w:lang w:bidi="ar"/>
        </w:rPr>
        <w:t>受力转换与临时卸力：拆除作业涉及支撑系统受力状态改变及结构卸力时，应严格按拆除专项方案分级、逐步进行。对需要进行荷载转移的结构节点，应提前设置临时支撑或采用工装进行可靠加固。严禁在未完成受力体系转换</w:t>
      </w:r>
      <w:r>
        <w:rPr>
          <w:rFonts w:hint="eastAsia"/>
          <w:color w:val="auto"/>
          <w:kern w:val="0"/>
          <w:lang w:eastAsia="zh-CN" w:bidi="ar"/>
        </w:rPr>
        <w:t>或</w:t>
      </w:r>
      <w:r>
        <w:rPr>
          <w:rFonts w:hint="eastAsia"/>
          <w:color w:val="auto"/>
          <w:kern w:val="0"/>
          <w:lang w:bidi="ar"/>
        </w:rPr>
        <w:t>构件仍处于受力（受压、受拉）状态下直接解体、切割主承力构件。</w:t>
      </w:r>
    </w:p>
    <w:p w14:paraId="6E9499F9">
      <w:pPr>
        <w:widowControl/>
        <w:ind w:firstLine="482" w:firstLineChars="200"/>
        <w:rPr>
          <w:color w:val="auto"/>
          <w:kern w:val="0"/>
          <w:lang w:bidi="ar"/>
        </w:rPr>
      </w:pPr>
      <w:r>
        <w:rPr>
          <w:rFonts w:hint="eastAsia"/>
          <w:b/>
          <w:bCs/>
          <w:color w:val="auto"/>
          <w:kern w:val="0"/>
          <w:lang w:bidi="ar"/>
        </w:rPr>
        <w:t>2</w:t>
      </w:r>
      <w:r>
        <w:rPr>
          <w:rFonts w:hint="eastAsia"/>
          <w:b/>
          <w:bCs/>
          <w:color w:val="auto"/>
          <w:kern w:val="0"/>
          <w:lang w:val="en-US" w:eastAsia="zh-CN" w:bidi="ar"/>
        </w:rPr>
        <w:t xml:space="preserve">  </w:t>
      </w:r>
      <w:r>
        <w:rPr>
          <w:rFonts w:hint="eastAsia"/>
          <w:color w:val="auto"/>
          <w:kern w:val="0"/>
          <w:lang w:bidi="ar"/>
        </w:rPr>
        <w:t>吊装模块防解体控制：采用模块化整体吊装拆除时，</w:t>
      </w:r>
      <w:r>
        <w:rPr>
          <w:color w:val="auto"/>
          <w:kern w:val="0"/>
          <w:lang w:bidi="ar"/>
        </w:rPr>
        <w:t>必须</w:t>
      </w:r>
      <w:r>
        <w:rPr>
          <w:rFonts w:hint="eastAsia"/>
          <w:color w:val="auto"/>
          <w:kern w:val="0"/>
          <w:lang w:bidi="ar"/>
        </w:rPr>
        <w:t>提前对吊装模块的整体刚度、重心位置及吊点受力进行计算复核。起吊解体前，必须对模块内部的连接节点（尤其是铰接、销轴连接及非全焊节点）采取刚性防解体加固措施。起升作业前应进行试吊，确保吊装、回转及降落过程中，模块整体不发生结构失稳、剧烈变形或解体坠落。</w:t>
      </w:r>
    </w:p>
    <w:p w14:paraId="29F60EF7">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3</w:t>
      </w:r>
      <w:r>
        <w:rPr>
          <w:b/>
          <w:bCs/>
          <w:color w:val="auto"/>
          <w:kern w:val="0"/>
          <w:lang w:bidi="ar"/>
        </w:rPr>
        <w:t>.</w:t>
      </w:r>
      <w:r>
        <w:rPr>
          <w:rFonts w:hint="eastAsia"/>
          <w:b/>
          <w:bCs/>
          <w:color w:val="auto"/>
          <w:kern w:val="0"/>
          <w:lang w:bidi="ar"/>
        </w:rPr>
        <w:t>4</w:t>
      </w:r>
      <w:r>
        <w:rPr>
          <w:rFonts w:hint="eastAsia"/>
          <w:color w:val="auto"/>
          <w:kern w:val="0"/>
          <w:lang w:bidi="ar"/>
        </w:rPr>
        <w:t xml:space="preserve">  集成平台电气及智能控制系统的拆卸应符合下列规定：</w:t>
      </w:r>
    </w:p>
    <w:p w14:paraId="1462EB61">
      <w:pPr>
        <w:widowControl/>
        <w:ind w:firstLine="482" w:firstLineChars="200"/>
        <w:rPr>
          <w:color w:val="auto"/>
          <w:kern w:val="0"/>
          <w:lang w:bidi="ar"/>
        </w:rPr>
      </w:pPr>
      <w:r>
        <w:rPr>
          <w:rFonts w:hint="eastAsia"/>
          <w:b/>
          <w:bCs/>
          <w:color w:val="auto"/>
          <w:kern w:val="0"/>
          <w:lang w:bidi="ar"/>
        </w:rPr>
        <w:t>1</w:t>
      </w:r>
      <w:r>
        <w:rPr>
          <w:rFonts w:hint="eastAsia"/>
          <w:b/>
          <w:bCs/>
          <w:color w:val="auto"/>
          <w:kern w:val="0"/>
          <w:lang w:val="en-US" w:eastAsia="zh-CN" w:bidi="ar"/>
        </w:rPr>
        <w:t xml:space="preserve">  </w:t>
      </w:r>
      <w:r>
        <w:rPr>
          <w:rFonts w:hint="eastAsia"/>
          <w:color w:val="auto"/>
          <w:kern w:val="0"/>
          <w:lang w:bidi="ar"/>
        </w:rPr>
        <w:t>数据备份与断电上锁：拆卸作业前，应完整导出并备份智能控制系统内的运行数据及历史记录；电气系统拆除前，应严格执行断电操作，落实“断电、上锁、挂牌”制度，并必须由持证专业电工使用仪器验明无电后，方可进行拆卸作业。</w:t>
      </w:r>
    </w:p>
    <w:p w14:paraId="687787E3">
      <w:pPr>
        <w:widowControl/>
        <w:ind w:firstLine="482" w:firstLineChars="200"/>
        <w:rPr>
          <w:color w:val="auto"/>
          <w:kern w:val="0"/>
          <w:lang w:bidi="ar"/>
        </w:rPr>
      </w:pPr>
      <w:r>
        <w:rPr>
          <w:rFonts w:hint="eastAsia"/>
          <w:b/>
          <w:bCs/>
          <w:color w:val="auto"/>
          <w:kern w:val="0"/>
          <w:lang w:bidi="ar"/>
        </w:rPr>
        <w:t>2</w:t>
      </w:r>
      <w:r>
        <w:rPr>
          <w:rFonts w:hint="eastAsia"/>
          <w:b/>
          <w:bCs/>
          <w:color w:val="auto"/>
          <w:kern w:val="0"/>
          <w:lang w:val="en-US" w:eastAsia="zh-CN" w:bidi="ar"/>
        </w:rPr>
        <w:t xml:space="preserve">  </w:t>
      </w:r>
      <w:r>
        <w:rPr>
          <w:rFonts w:hint="eastAsia"/>
          <w:color w:val="auto"/>
          <w:kern w:val="0"/>
          <w:lang w:bidi="ar"/>
        </w:rPr>
        <w:t>拆卸顺序与系统控制：电气及控制线路的拆卸应严格遵循“先切断总电源，后拆除分支线路”的断电原则，以及“先强电后弱电，先外围分支线路及传感器，后主控柜及总配电箱”的拆卸顺序，防止带电作业或导致系统误动作。</w:t>
      </w:r>
    </w:p>
    <w:p w14:paraId="656BCFE1">
      <w:pPr>
        <w:widowControl/>
        <w:ind w:firstLine="482" w:firstLineChars="200"/>
        <w:rPr>
          <w:color w:val="auto"/>
          <w:kern w:val="0"/>
          <w:lang w:bidi="ar"/>
        </w:rPr>
      </w:pPr>
      <w:r>
        <w:rPr>
          <w:rFonts w:hint="eastAsia"/>
          <w:b/>
          <w:bCs/>
          <w:color w:val="auto"/>
          <w:kern w:val="0"/>
          <w:lang w:bidi="ar"/>
        </w:rPr>
        <w:t>3</w:t>
      </w:r>
      <w:r>
        <w:rPr>
          <w:rFonts w:hint="eastAsia"/>
          <w:b/>
          <w:bCs/>
          <w:color w:val="auto"/>
          <w:kern w:val="0"/>
          <w:lang w:val="en-US" w:eastAsia="zh-CN" w:bidi="ar"/>
        </w:rPr>
        <w:t xml:space="preserve">  </w:t>
      </w:r>
      <w:r>
        <w:rPr>
          <w:rFonts w:hint="eastAsia"/>
          <w:color w:val="auto"/>
          <w:kern w:val="0"/>
          <w:lang w:bidi="ar"/>
        </w:rPr>
        <w:t>线缆与元器件保护：智能控制箱、传感器、液压比例阀控制线等精密电子元器件拆卸后，应进行</w:t>
      </w:r>
      <w:r>
        <w:rPr>
          <w:rFonts w:hint="eastAsia"/>
          <w:color w:val="auto"/>
        </w:rPr>
        <w:t>编号、</w:t>
      </w:r>
      <w:r>
        <w:rPr>
          <w:rFonts w:hint="eastAsia"/>
          <w:color w:val="auto"/>
          <w:kern w:val="0"/>
          <w:lang w:bidi="ar"/>
        </w:rPr>
        <w:t>分类包装，并采取防潮、防尘、防静电及防碰撞措施。各类线缆拆除时应保留接头完整并做好两端线号标识，应分类盘卷、捆扎、入库堆放，严禁强行拉拽或破坏性剪断。</w:t>
      </w:r>
    </w:p>
    <w:p w14:paraId="53AE7CDE">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3</w:t>
      </w:r>
      <w:r>
        <w:rPr>
          <w:b/>
          <w:bCs/>
          <w:color w:val="auto"/>
          <w:kern w:val="0"/>
          <w:lang w:bidi="ar"/>
        </w:rPr>
        <w:t>.</w:t>
      </w:r>
      <w:r>
        <w:rPr>
          <w:rFonts w:hint="eastAsia"/>
          <w:b/>
          <w:bCs/>
          <w:color w:val="auto"/>
          <w:kern w:val="0"/>
          <w:lang w:bidi="ar"/>
        </w:rPr>
        <w:t>5</w:t>
      </w:r>
      <w:r>
        <w:rPr>
          <w:rFonts w:hint="eastAsia"/>
          <w:color w:val="auto"/>
          <w:kern w:val="0"/>
          <w:lang w:bidi="ar"/>
        </w:rPr>
        <w:t xml:space="preserve">  挂架系统（含防护架、走道板等）的拆除应严格防范高空坠物及人员坠落风险，并应符合下列规定：</w:t>
      </w:r>
    </w:p>
    <w:p w14:paraId="0BFD814A">
      <w:pPr>
        <w:widowControl/>
        <w:ind w:firstLine="482" w:firstLineChars="200"/>
        <w:rPr>
          <w:color w:val="auto"/>
          <w:kern w:val="0"/>
          <w:lang w:bidi="ar"/>
        </w:rPr>
      </w:pPr>
      <w:r>
        <w:rPr>
          <w:rFonts w:hint="eastAsia"/>
          <w:b/>
          <w:bCs/>
          <w:color w:val="auto"/>
          <w:kern w:val="0"/>
          <w:lang w:bidi="ar"/>
        </w:rPr>
        <w:t>1</w:t>
      </w:r>
      <w:r>
        <w:rPr>
          <w:rFonts w:hint="eastAsia"/>
          <w:b/>
          <w:bCs/>
          <w:color w:val="auto"/>
          <w:kern w:val="0"/>
          <w:lang w:val="en-US" w:eastAsia="zh-CN" w:bidi="ar"/>
        </w:rPr>
        <w:t xml:space="preserve">  </w:t>
      </w:r>
      <w:r>
        <w:rPr>
          <w:rFonts w:hint="eastAsia"/>
          <w:color w:val="auto"/>
          <w:kern w:val="0"/>
          <w:lang w:bidi="ar"/>
        </w:rPr>
        <w:t>彻底清理与封闭：拆除作业前，应全面清理挂架各层走道板上的零星材料、扣件、工具及建筑垃圾，严禁带有任何易坠落物进行拆卸作业。拆除区域下方地面应设置警戒隔离区，并安排专人监护。</w:t>
      </w:r>
    </w:p>
    <w:p w14:paraId="60C0A082">
      <w:pPr>
        <w:widowControl/>
        <w:ind w:firstLine="482" w:firstLineChars="200"/>
        <w:rPr>
          <w:color w:val="auto"/>
          <w:kern w:val="0"/>
          <w:lang w:bidi="ar"/>
        </w:rPr>
      </w:pPr>
      <w:r>
        <w:rPr>
          <w:rFonts w:hint="eastAsia"/>
          <w:b/>
          <w:bCs/>
          <w:color w:val="auto"/>
          <w:kern w:val="0"/>
          <w:lang w:bidi="ar"/>
        </w:rPr>
        <w:t>2</w:t>
      </w:r>
      <w:r>
        <w:rPr>
          <w:rFonts w:hint="eastAsia"/>
          <w:b/>
          <w:bCs/>
          <w:color w:val="auto"/>
          <w:kern w:val="0"/>
          <w:lang w:val="en-US" w:eastAsia="zh-CN" w:bidi="ar"/>
        </w:rPr>
        <w:t xml:space="preserve">  </w:t>
      </w:r>
      <w:r>
        <w:rPr>
          <w:rFonts w:hint="eastAsia"/>
          <w:color w:val="auto"/>
          <w:kern w:val="0"/>
          <w:lang w:bidi="ar"/>
        </w:rPr>
        <w:t>先挂后拆与平稳移交：挂架整体或分段解体吊拆时，必须先将挂架与起重设备的吊索可靠连接，并使吊索处于微微受力绷紧状态后，方可解除挂架与集成平台主体之间的承载连接（如拆除销轴、螺栓）。严禁先解开受力连接再挂钩吊装。</w:t>
      </w:r>
    </w:p>
    <w:p w14:paraId="11837D8B">
      <w:pPr>
        <w:widowControl/>
        <w:ind w:firstLine="482" w:firstLineChars="200"/>
        <w:rPr>
          <w:color w:val="auto"/>
          <w:kern w:val="0"/>
          <w:lang w:bidi="ar"/>
        </w:rPr>
      </w:pPr>
      <w:r>
        <w:rPr>
          <w:rFonts w:hint="eastAsia"/>
          <w:b/>
          <w:bCs/>
          <w:color w:val="auto"/>
          <w:kern w:val="0"/>
          <w:lang w:bidi="ar"/>
        </w:rPr>
        <w:t>3</w:t>
      </w:r>
      <w:r>
        <w:rPr>
          <w:rFonts w:hint="eastAsia"/>
          <w:b/>
          <w:bCs/>
          <w:color w:val="auto"/>
          <w:kern w:val="0"/>
          <w:lang w:val="en-US" w:eastAsia="zh-CN" w:bidi="ar"/>
        </w:rPr>
        <w:t xml:space="preserve">  </w:t>
      </w:r>
      <w:r>
        <w:rPr>
          <w:rFonts w:hint="eastAsia"/>
          <w:color w:val="auto"/>
          <w:kern w:val="0"/>
          <w:lang w:bidi="ar"/>
        </w:rPr>
        <w:t>拆卸顺序与防倾覆：拆卸作业宜遵循“自上而下、逐层逐跨”的原则。同层拆除时，应先拆除安全网、脚手板、防护栏杆等非承重附属构件，后拆除受力龙骨及悬吊主框架。拆卸过程中应保持集成平台整体重心的平衡，严禁集中一侧集中拆卸引发倾覆风险；严禁在同一垂直面上进行上下交叉拆卸作业。</w:t>
      </w:r>
    </w:p>
    <w:p w14:paraId="3EEA286E">
      <w:pPr>
        <w:widowControl/>
        <w:ind w:firstLine="482" w:firstLineChars="200"/>
        <w:rPr>
          <w:color w:val="auto"/>
          <w:kern w:val="0"/>
          <w:lang w:bidi="ar"/>
        </w:rPr>
      </w:pPr>
      <w:r>
        <w:rPr>
          <w:rFonts w:hint="eastAsia"/>
          <w:b/>
          <w:bCs/>
          <w:color w:val="auto"/>
          <w:kern w:val="0"/>
          <w:lang w:bidi="ar"/>
        </w:rPr>
        <w:t>4</w:t>
      </w:r>
      <w:r>
        <w:rPr>
          <w:rFonts w:hint="eastAsia"/>
          <w:b/>
          <w:bCs/>
          <w:color w:val="auto"/>
          <w:kern w:val="0"/>
          <w:lang w:val="en-US" w:eastAsia="zh-CN" w:bidi="ar"/>
        </w:rPr>
        <w:t xml:space="preserve">  </w:t>
      </w:r>
      <w:r>
        <w:rPr>
          <w:rFonts w:hint="eastAsia"/>
          <w:color w:val="auto"/>
          <w:kern w:val="0"/>
          <w:lang w:bidi="ar"/>
        </w:rPr>
        <w:t>生命线与挂点：施工作业人员必须正确佩戴五点式安全带。应设置独立生命线系统，其系挂点必须位于集成平台未拆除的主体核心结构或已完成的建筑实体结构上，严禁将安全带系挂在正在拆除的挂架体系或即将松动的构件上。</w:t>
      </w:r>
    </w:p>
    <w:p w14:paraId="5CA7E04C">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3</w:t>
      </w:r>
      <w:r>
        <w:rPr>
          <w:b/>
          <w:bCs/>
          <w:color w:val="auto"/>
          <w:kern w:val="0"/>
          <w:lang w:bidi="ar"/>
        </w:rPr>
        <w:t>.</w:t>
      </w:r>
      <w:r>
        <w:rPr>
          <w:rFonts w:hint="eastAsia"/>
          <w:b/>
          <w:bCs/>
          <w:color w:val="auto"/>
          <w:kern w:val="0"/>
          <w:lang w:bidi="ar"/>
        </w:rPr>
        <w:t>6</w:t>
      </w:r>
      <w:r>
        <w:rPr>
          <w:rFonts w:hint="eastAsia"/>
          <w:color w:val="auto"/>
          <w:kern w:val="0"/>
          <w:lang w:bidi="ar"/>
        </w:rPr>
        <w:t xml:space="preserve">  钢平台及主支承结构的拆除应严格控制重心平衡，并应符合下列规定：</w:t>
      </w:r>
    </w:p>
    <w:p w14:paraId="13036FB2">
      <w:pPr>
        <w:widowControl/>
        <w:ind w:firstLine="482" w:firstLineChars="200"/>
        <w:rPr>
          <w:color w:val="auto"/>
          <w:kern w:val="0"/>
          <w:lang w:bidi="ar"/>
        </w:rPr>
      </w:pPr>
      <w:r>
        <w:rPr>
          <w:rFonts w:hint="eastAsia"/>
          <w:b/>
          <w:bCs/>
          <w:color w:val="auto"/>
          <w:kern w:val="0"/>
          <w:lang w:bidi="ar"/>
        </w:rPr>
        <w:t>1</w:t>
      </w:r>
      <w:r>
        <w:rPr>
          <w:rFonts w:hint="eastAsia"/>
          <w:b/>
          <w:bCs/>
          <w:color w:val="auto"/>
          <w:kern w:val="0"/>
          <w:lang w:val="en-US" w:eastAsia="zh-CN" w:bidi="ar"/>
        </w:rPr>
        <w:t xml:space="preserve">  </w:t>
      </w:r>
      <w:r>
        <w:rPr>
          <w:rFonts w:hint="eastAsia"/>
          <w:color w:val="auto"/>
          <w:kern w:val="0"/>
          <w:lang w:bidi="ar"/>
        </w:rPr>
        <w:t>分级解体顺序： 钢平台的拆除</w:t>
      </w:r>
      <w:r>
        <w:rPr>
          <w:color w:val="auto"/>
          <w:kern w:val="0"/>
          <w:lang w:bidi="ar"/>
        </w:rPr>
        <w:t>必须</w:t>
      </w:r>
      <w:r>
        <w:rPr>
          <w:rFonts w:hint="eastAsia"/>
          <w:color w:val="auto"/>
          <w:kern w:val="0"/>
          <w:lang w:bidi="ar"/>
        </w:rPr>
        <w:t>严格遵循“先次后主、先桁架后支承体系”的分级解体顺序，根据结构受力特点及专项方案确定拆除顺序。严禁在主承重结构未形成稳定独立单元前，提前拆除其关联的横向联系杆件或剪刀撑。</w:t>
      </w:r>
    </w:p>
    <w:p w14:paraId="6A38B85B">
      <w:pPr>
        <w:widowControl/>
        <w:ind w:firstLine="482" w:firstLineChars="200"/>
        <w:rPr>
          <w:color w:val="auto"/>
          <w:kern w:val="0"/>
          <w:lang w:bidi="ar"/>
        </w:rPr>
      </w:pPr>
      <w:r>
        <w:rPr>
          <w:rFonts w:hint="eastAsia"/>
          <w:b/>
          <w:bCs/>
          <w:color w:val="auto"/>
          <w:kern w:val="0"/>
          <w:lang w:bidi="ar"/>
        </w:rPr>
        <w:t>2</w:t>
      </w:r>
      <w:r>
        <w:rPr>
          <w:rFonts w:hint="eastAsia"/>
          <w:b/>
          <w:bCs/>
          <w:color w:val="auto"/>
          <w:kern w:val="0"/>
          <w:lang w:val="en-US" w:eastAsia="zh-CN" w:bidi="ar"/>
        </w:rPr>
        <w:t xml:space="preserve">  </w:t>
      </w:r>
      <w:r>
        <w:rPr>
          <w:rFonts w:hint="eastAsia"/>
          <w:color w:val="auto"/>
          <w:kern w:val="0"/>
          <w:lang w:bidi="ar"/>
        </w:rPr>
        <w:t>对称拆卸与重心控制：针对大型框架及桁架系统，应坚持“对称拆卸”原则。拆除过程中必须实时监控钢平台整体的重心偏移情况，严禁单侧集中大面积拆除导致主支承立柱受力不均或偏心受压。</w:t>
      </w:r>
    </w:p>
    <w:p w14:paraId="3BEE7904">
      <w:pPr>
        <w:widowControl/>
        <w:ind w:firstLine="482" w:firstLineChars="200"/>
        <w:rPr>
          <w:color w:val="auto"/>
          <w:kern w:val="0"/>
          <w:lang w:bidi="ar"/>
        </w:rPr>
      </w:pPr>
      <w:r>
        <w:rPr>
          <w:rFonts w:hint="eastAsia"/>
          <w:b/>
          <w:bCs/>
          <w:color w:val="auto"/>
          <w:kern w:val="0"/>
          <w:lang w:bidi="ar"/>
        </w:rPr>
        <w:t>3</w:t>
      </w:r>
      <w:r>
        <w:rPr>
          <w:rFonts w:hint="eastAsia"/>
          <w:b/>
          <w:bCs/>
          <w:color w:val="auto"/>
          <w:kern w:val="0"/>
          <w:lang w:val="en-US" w:eastAsia="zh-CN" w:bidi="ar"/>
        </w:rPr>
        <w:t xml:space="preserve">  </w:t>
      </w:r>
      <w:r>
        <w:rPr>
          <w:rFonts w:hint="eastAsia"/>
          <w:color w:val="auto"/>
          <w:kern w:val="0"/>
          <w:lang w:bidi="ar"/>
        </w:rPr>
        <w:t>防内力突释：拆除主要受力构件或大跨度桁架前，</w:t>
      </w:r>
      <w:r>
        <w:rPr>
          <w:color w:val="auto"/>
          <w:kern w:val="0"/>
          <w:lang w:bidi="ar"/>
        </w:rPr>
        <w:t>必须</w:t>
      </w:r>
      <w:r>
        <w:rPr>
          <w:rFonts w:hint="eastAsia"/>
          <w:color w:val="auto"/>
          <w:kern w:val="0"/>
          <w:lang w:bidi="ar"/>
        </w:rPr>
        <w:t>充分评估构件内部的残余应力。对于采用销轴连接或螺栓连接的核心节点，严禁在未设置有效防坠和缓冲吊索的情况下强行拔销或野蛮切割，防止结构因内力瞬间释放引发弹跳或剧烈形变。</w:t>
      </w:r>
    </w:p>
    <w:p w14:paraId="5517AB4D">
      <w:pPr>
        <w:widowControl/>
        <w:ind w:firstLine="482" w:firstLineChars="200"/>
        <w:rPr>
          <w:color w:val="auto"/>
          <w:kern w:val="0"/>
          <w:lang w:bidi="ar"/>
        </w:rPr>
      </w:pPr>
      <w:r>
        <w:rPr>
          <w:rFonts w:hint="eastAsia"/>
          <w:b/>
          <w:bCs/>
          <w:color w:val="auto"/>
          <w:kern w:val="0"/>
          <w:lang w:bidi="ar"/>
        </w:rPr>
        <w:t>4</w:t>
      </w:r>
      <w:r>
        <w:rPr>
          <w:rFonts w:hint="eastAsia"/>
          <w:b/>
          <w:bCs/>
          <w:color w:val="auto"/>
          <w:kern w:val="0"/>
          <w:lang w:val="en-US" w:eastAsia="zh-CN" w:bidi="ar"/>
        </w:rPr>
        <w:t xml:space="preserve">  </w:t>
      </w:r>
      <w:r>
        <w:rPr>
          <w:rFonts w:hint="eastAsia"/>
          <w:color w:val="auto"/>
          <w:kern w:val="0"/>
          <w:lang w:bidi="ar"/>
        </w:rPr>
        <w:t>高空动火切割防护：拆卸过程中若涉及高空动火切割作业，</w:t>
      </w:r>
      <w:r>
        <w:rPr>
          <w:color w:val="auto"/>
          <w:kern w:val="0"/>
          <w:lang w:bidi="ar"/>
        </w:rPr>
        <w:t>必须</w:t>
      </w:r>
      <w:r>
        <w:rPr>
          <w:rFonts w:hint="eastAsia"/>
          <w:color w:val="auto"/>
          <w:kern w:val="0"/>
          <w:lang w:bidi="ar"/>
        </w:rPr>
        <w:t>办理动火审批手续。切割点下方应设置接火斗或阻燃隔离带，严禁焊渣、火星掉落至下方已建楼层或防护网上引发火灾。切割时，应确保被切割构件已有可靠的吊具受力保护。</w:t>
      </w:r>
    </w:p>
    <w:p w14:paraId="58867F77">
      <w:pPr>
        <w:widowControl/>
        <w:ind w:firstLine="482" w:firstLineChars="200"/>
        <w:rPr>
          <w:color w:val="auto"/>
          <w:kern w:val="0"/>
          <w:lang w:bidi="ar"/>
        </w:rPr>
      </w:pPr>
      <w:r>
        <w:rPr>
          <w:rFonts w:hint="eastAsia"/>
          <w:b/>
          <w:bCs/>
          <w:color w:val="auto"/>
          <w:kern w:val="0"/>
          <w:lang w:bidi="ar"/>
        </w:rPr>
        <w:t>5</w:t>
      </w:r>
      <w:r>
        <w:rPr>
          <w:rFonts w:hint="eastAsia"/>
          <w:b/>
          <w:bCs/>
          <w:color w:val="auto"/>
          <w:kern w:val="0"/>
          <w:lang w:val="en-US" w:eastAsia="zh-CN" w:bidi="ar"/>
        </w:rPr>
        <w:t xml:space="preserve">  </w:t>
      </w:r>
      <w:r>
        <w:rPr>
          <w:rFonts w:hint="eastAsia"/>
          <w:color w:val="auto"/>
          <w:kern w:val="0"/>
          <w:lang w:bidi="ar"/>
        </w:rPr>
        <w:t>支承装置退场：附着在建筑实体（如核心筒剪力墙）上的主支承微调装置、牛腿或支撑爬爪，应在上方主钢平台完全卸载并安全移位后，方可进行最后的拆解退场。</w:t>
      </w:r>
    </w:p>
    <w:p w14:paraId="56939788">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3</w:t>
      </w:r>
      <w:r>
        <w:rPr>
          <w:b/>
          <w:bCs/>
          <w:color w:val="auto"/>
          <w:kern w:val="0"/>
          <w:lang w:bidi="ar"/>
        </w:rPr>
        <w:t>.</w:t>
      </w:r>
      <w:r>
        <w:rPr>
          <w:rFonts w:hint="eastAsia"/>
          <w:b/>
          <w:bCs/>
          <w:color w:val="auto"/>
          <w:kern w:val="0"/>
          <w:lang w:bidi="ar"/>
        </w:rPr>
        <w:t>7</w:t>
      </w:r>
      <w:r>
        <w:rPr>
          <w:rFonts w:hint="eastAsia"/>
          <w:color w:val="auto"/>
          <w:kern w:val="0"/>
          <w:lang w:bidi="ar"/>
        </w:rPr>
        <w:t xml:space="preserve">  集成平台拆除过程中，应对结构稳定性进行实时监测，并应符合下列规定：</w:t>
      </w:r>
    </w:p>
    <w:p w14:paraId="6D772C49">
      <w:pPr>
        <w:widowControl/>
        <w:ind w:firstLine="482" w:firstLineChars="200"/>
        <w:rPr>
          <w:color w:val="auto"/>
          <w:kern w:val="0"/>
          <w:lang w:bidi="ar"/>
        </w:rPr>
      </w:pPr>
      <w:r>
        <w:rPr>
          <w:rFonts w:hint="eastAsia"/>
          <w:b/>
          <w:bCs/>
          <w:color w:val="auto"/>
          <w:kern w:val="0"/>
          <w:lang w:bidi="ar"/>
        </w:rPr>
        <w:t>1</w:t>
      </w:r>
      <w:r>
        <w:rPr>
          <w:rFonts w:hint="eastAsia"/>
          <w:b/>
          <w:bCs/>
          <w:color w:val="auto"/>
          <w:kern w:val="0"/>
          <w:lang w:val="en-US" w:eastAsia="zh-CN" w:bidi="ar"/>
        </w:rPr>
        <w:t xml:space="preserve">  </w:t>
      </w:r>
      <w:r>
        <w:rPr>
          <w:rFonts w:hint="eastAsia"/>
          <w:color w:val="auto"/>
          <w:kern w:val="0"/>
          <w:lang w:bidi="ar"/>
        </w:rPr>
        <w:t>监测系统延后拆除：集成平台自带的智能监测系统（如应力、位移、倾角传感器）及其供电、通信线路，应尽量延后拆除，确保在主承载结构解体前能持续提供核心构件的受力数据。</w:t>
      </w:r>
    </w:p>
    <w:p w14:paraId="20452ADB">
      <w:pPr>
        <w:widowControl/>
        <w:ind w:firstLine="482" w:firstLineChars="200"/>
        <w:rPr>
          <w:color w:val="auto"/>
          <w:kern w:val="0"/>
          <w:lang w:bidi="ar"/>
        </w:rPr>
      </w:pPr>
      <w:r>
        <w:rPr>
          <w:rFonts w:hint="eastAsia"/>
          <w:b/>
          <w:bCs/>
          <w:color w:val="auto"/>
          <w:kern w:val="0"/>
          <w:lang w:bidi="ar"/>
        </w:rPr>
        <w:t>2</w:t>
      </w:r>
      <w:r>
        <w:rPr>
          <w:rFonts w:hint="eastAsia"/>
          <w:b/>
          <w:bCs/>
          <w:color w:val="auto"/>
          <w:kern w:val="0"/>
          <w:lang w:val="en-US" w:eastAsia="zh-CN" w:bidi="ar"/>
        </w:rPr>
        <w:t xml:space="preserve">  </w:t>
      </w:r>
      <w:r>
        <w:rPr>
          <w:rFonts w:hint="eastAsia"/>
          <w:color w:val="auto"/>
          <w:kern w:val="0"/>
          <w:lang w:bidi="ar"/>
        </w:rPr>
        <w:t>关键监测参数：拆除期间应对结构稳定状态及环境进行全面监测，监测内容应包含但不限于下列各项：集成平台整体倾斜变化、关键节点位移与应力、承载构件变形、附着支撑状态、液压系统压力变化、环境风速变化。</w:t>
      </w:r>
    </w:p>
    <w:p w14:paraId="0CE74028">
      <w:pPr>
        <w:widowControl/>
        <w:ind w:firstLine="482" w:firstLineChars="200"/>
        <w:rPr>
          <w:color w:val="auto"/>
          <w:kern w:val="0"/>
          <w:lang w:bidi="ar"/>
        </w:rPr>
      </w:pPr>
      <w:r>
        <w:rPr>
          <w:rFonts w:hint="eastAsia"/>
          <w:b/>
          <w:bCs/>
          <w:color w:val="auto"/>
          <w:kern w:val="0"/>
          <w:lang w:bidi="ar"/>
        </w:rPr>
        <w:t>3</w:t>
      </w:r>
      <w:r>
        <w:rPr>
          <w:rFonts w:hint="eastAsia"/>
          <w:b/>
          <w:bCs/>
          <w:color w:val="auto"/>
          <w:kern w:val="0"/>
          <w:lang w:val="en-US" w:eastAsia="zh-CN" w:bidi="ar"/>
        </w:rPr>
        <w:t xml:space="preserve">  </w:t>
      </w:r>
      <w:r>
        <w:rPr>
          <w:rFonts w:hint="eastAsia"/>
          <w:color w:val="auto"/>
          <w:kern w:val="0"/>
          <w:lang w:bidi="ar"/>
        </w:rPr>
        <w:t>建立独立复测体系：除平台自带监测系统外，施工单位应在安全的已建楼层设置独立观测基准点，利用全站仪、水准仪等测量仪器对集成平台关键节点，可采用独立测量系统进行复核。</w:t>
      </w:r>
    </w:p>
    <w:p w14:paraId="03558699">
      <w:pPr>
        <w:widowControl/>
        <w:ind w:firstLine="482" w:firstLineChars="200"/>
        <w:rPr>
          <w:color w:val="auto"/>
          <w:kern w:val="0"/>
          <w:lang w:bidi="ar"/>
        </w:rPr>
      </w:pPr>
      <w:r>
        <w:rPr>
          <w:rFonts w:hint="eastAsia"/>
          <w:b/>
          <w:bCs/>
          <w:color w:val="auto"/>
          <w:kern w:val="0"/>
          <w:lang w:bidi="ar"/>
        </w:rPr>
        <w:t>4</w:t>
      </w:r>
      <w:r>
        <w:rPr>
          <w:rFonts w:hint="eastAsia"/>
          <w:b/>
          <w:bCs/>
          <w:color w:val="auto"/>
          <w:kern w:val="0"/>
          <w:lang w:val="en-US" w:eastAsia="zh-CN" w:bidi="ar"/>
        </w:rPr>
        <w:t xml:space="preserve">  </w:t>
      </w:r>
      <w:r>
        <w:rPr>
          <w:rFonts w:hint="eastAsia"/>
          <w:color w:val="auto"/>
          <w:kern w:val="0"/>
          <w:lang w:bidi="ar"/>
        </w:rPr>
        <w:t>分级预警与停工机制：拆除方案中必须明确各项监测数据的报警阈值。当监测数据出现异常突变、达到预警值或超出设计允许变形范围时，必须立即停止拆除作业，人员撤离至安全区域，待查明原因并采取加固补救措施后，方可恢复作业。</w:t>
      </w:r>
    </w:p>
    <w:p w14:paraId="5C3BA7A0">
      <w:pPr>
        <w:rPr>
          <w:color w:val="auto"/>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3</w:t>
      </w:r>
      <w:r>
        <w:rPr>
          <w:b/>
          <w:bCs/>
          <w:color w:val="auto"/>
          <w:kern w:val="0"/>
          <w:lang w:bidi="ar"/>
        </w:rPr>
        <w:t>.</w:t>
      </w:r>
      <w:r>
        <w:rPr>
          <w:rFonts w:hint="eastAsia"/>
          <w:b/>
          <w:bCs/>
          <w:color w:val="auto"/>
        </w:rPr>
        <w:t>8</w:t>
      </w:r>
      <w:r>
        <w:rPr>
          <w:rFonts w:hint="eastAsia"/>
          <w:color w:val="auto"/>
        </w:rPr>
        <w:t xml:space="preserve">  采用智能控制系统的施工集成平台，拆除过程中宜利用传感监测系统对关键参数进行实时采集，并设置异常报警功能。</w:t>
      </w:r>
    </w:p>
    <w:p w14:paraId="4055DC71">
      <w:pPr>
        <w:rPr>
          <w:color w:val="auto"/>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3</w:t>
      </w:r>
      <w:r>
        <w:rPr>
          <w:b/>
          <w:bCs/>
          <w:color w:val="auto"/>
          <w:kern w:val="0"/>
          <w:lang w:bidi="ar"/>
        </w:rPr>
        <w:t>.</w:t>
      </w:r>
      <w:r>
        <w:rPr>
          <w:rFonts w:hint="eastAsia"/>
          <w:b/>
          <w:bCs/>
          <w:color w:val="auto"/>
        </w:rPr>
        <w:t>9</w:t>
      </w:r>
      <w:r>
        <w:rPr>
          <w:rFonts w:hint="eastAsia"/>
          <w:color w:val="auto"/>
        </w:rPr>
        <w:t xml:space="preserve">  拆除过程中应做好监测数据记录，形成拆除过程质量安全追溯资料。当监测数据出现异常变化或超过预警值时，应立即停止拆除作业，分析原因并采取处理措施。</w:t>
      </w:r>
    </w:p>
    <w:p w14:paraId="558E969B">
      <w:pPr>
        <w:pStyle w:val="3"/>
        <w:bidi w:val="0"/>
        <w:rPr>
          <w:rFonts w:hint="eastAsia"/>
          <w:b/>
          <w:bCs/>
          <w:color w:val="auto"/>
          <w:kern w:val="0"/>
          <w:lang w:bidi="ar"/>
        </w:rPr>
      </w:pPr>
      <w:bookmarkStart w:id="190" w:name="_Toc919"/>
      <w:r>
        <w:rPr>
          <w:rFonts w:hint="eastAsia"/>
          <w:color w:val="000000" w:themeColor="text1"/>
          <w:lang w:val="en-US" w:eastAsia="zh-CN"/>
          <w14:textFill>
            <w14:solidFill>
              <w14:schemeClr w14:val="tx1"/>
            </w14:solidFill>
          </w14:textFill>
        </w:rPr>
        <w:t>11</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构件回收与再利用评估</w:t>
      </w:r>
      <w:bookmarkEnd w:id="190"/>
    </w:p>
    <w:p w14:paraId="5A195D9D">
      <w:pPr>
        <w:widowControl/>
        <w:rPr>
          <w:rFonts w:hint="default" w:eastAsia="宋体"/>
          <w:color w:val="auto"/>
          <w:kern w:val="0"/>
          <w:lang w:val="en-US" w:eastAsia="zh-CN"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4</w:t>
      </w:r>
      <w:r>
        <w:rPr>
          <w:b/>
          <w:bCs/>
          <w:color w:val="auto"/>
          <w:kern w:val="0"/>
          <w:lang w:bidi="ar"/>
        </w:rPr>
        <w:t>.</w:t>
      </w:r>
      <w:r>
        <w:rPr>
          <w:rFonts w:hint="eastAsia"/>
          <w:b/>
          <w:bCs/>
          <w:color w:val="auto"/>
          <w:kern w:val="0"/>
          <w:lang w:val="en-US" w:eastAsia="zh-CN" w:bidi="ar"/>
        </w:rPr>
        <w:t>1</w:t>
      </w:r>
      <w:r>
        <w:rPr>
          <w:b/>
          <w:bCs/>
          <w:color w:val="auto"/>
          <w:kern w:val="0"/>
          <w:lang w:bidi="ar"/>
        </w:rPr>
        <w:t xml:space="preserve">  </w:t>
      </w:r>
      <w:r>
        <w:rPr>
          <w:rFonts w:hint="eastAsia"/>
          <w:color w:val="auto"/>
          <w:kern w:val="0"/>
          <w:lang w:bidi="ar"/>
        </w:rPr>
        <w:t>集成平台拆卸完成后，应由专业技术人员对构件及设备进行分类评估、回收与保管，</w:t>
      </w:r>
      <w:r>
        <w:rPr>
          <w:color w:val="auto"/>
          <w:kern w:val="0"/>
          <w:lang w:bidi="ar"/>
        </w:rPr>
        <w:t>常规项目可周转复用构件重量占比不宜低于70%；采用智慧集成平台示范、创优类项目，构件周转复用率宜达到80% 以上</w:t>
      </w:r>
      <w:r>
        <w:rPr>
          <w:rFonts w:hint="eastAsia"/>
          <w:color w:val="auto"/>
          <w:kern w:val="0"/>
          <w:lang w:eastAsia="zh-CN" w:bidi="ar"/>
        </w:rPr>
        <w:t>。</w:t>
      </w:r>
      <w:r>
        <w:rPr>
          <w:rFonts w:hint="eastAsia"/>
          <w:color w:val="auto"/>
          <w:kern w:val="0"/>
          <w:lang w:val="en-US" w:eastAsia="zh-CN" w:bidi="ar"/>
        </w:rPr>
        <w:t>平台主体构件可周转</w:t>
      </w:r>
    </w:p>
    <w:p w14:paraId="002CFE88">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4</w:t>
      </w:r>
      <w:r>
        <w:rPr>
          <w:b/>
          <w:bCs/>
          <w:color w:val="auto"/>
          <w:kern w:val="0"/>
          <w:lang w:bidi="ar"/>
        </w:rPr>
        <w:t>.</w:t>
      </w:r>
      <w:r>
        <w:rPr>
          <w:rFonts w:hint="eastAsia"/>
          <w:b/>
          <w:bCs/>
          <w:color w:val="auto"/>
          <w:kern w:val="0"/>
          <w:lang w:bidi="ar"/>
        </w:rPr>
        <w:t>2</w:t>
      </w:r>
      <w:r>
        <w:rPr>
          <w:rFonts w:hint="eastAsia"/>
          <w:color w:val="auto"/>
          <w:kern w:val="0"/>
          <w:lang w:bidi="ar"/>
        </w:rPr>
        <w:t xml:space="preserve">  </w:t>
      </w:r>
      <w:r>
        <w:rPr>
          <w:color w:val="auto"/>
          <w:kern w:val="0"/>
          <w:lang w:bidi="ar"/>
        </w:rPr>
        <w:t>集成平台拆除完成后</w:t>
      </w:r>
      <w:r>
        <w:rPr>
          <w:rFonts w:hint="eastAsia"/>
          <w:color w:val="auto"/>
          <w:kern w:val="0"/>
          <w:lang w:bidi="ar"/>
        </w:rPr>
        <w:t>，</w:t>
      </w:r>
      <w:r>
        <w:rPr>
          <w:color w:val="auto"/>
          <w:kern w:val="0"/>
          <w:lang w:bidi="ar"/>
        </w:rPr>
        <w:t>应对拆除构件进行检查、分类和再利用评估</w:t>
      </w:r>
      <w:r>
        <w:rPr>
          <w:rFonts w:hint="eastAsia"/>
          <w:color w:val="auto"/>
          <w:kern w:val="0"/>
          <w:lang w:bidi="ar"/>
        </w:rPr>
        <w:t>，</w:t>
      </w:r>
      <w:r>
        <w:rPr>
          <w:color w:val="auto"/>
          <w:kern w:val="0"/>
          <w:lang w:bidi="ar"/>
        </w:rPr>
        <w:t>并根据评估结果确定继续使用、维修使用或材料回收方案</w:t>
      </w:r>
      <w:r>
        <w:rPr>
          <w:rFonts w:hint="eastAsia"/>
          <w:color w:val="auto"/>
          <w:kern w:val="0"/>
          <w:lang w:bidi="ar"/>
        </w:rPr>
        <w:t>，</w:t>
      </w:r>
      <w:r>
        <w:rPr>
          <w:color w:val="auto"/>
          <w:kern w:val="0"/>
          <w:lang w:bidi="ar"/>
        </w:rPr>
        <w:t>评估内容包含但不限于：构件完整性检查</w:t>
      </w:r>
      <w:r>
        <w:rPr>
          <w:rFonts w:hint="eastAsia"/>
          <w:color w:val="auto"/>
          <w:kern w:val="0"/>
          <w:lang w:bidi="ar"/>
        </w:rPr>
        <w:t>；</w:t>
      </w:r>
      <w:r>
        <w:rPr>
          <w:color w:val="auto"/>
          <w:kern w:val="0"/>
          <w:lang w:bidi="ar"/>
        </w:rPr>
        <w:t>外观质量检查</w:t>
      </w:r>
      <w:r>
        <w:rPr>
          <w:rFonts w:hint="eastAsia"/>
          <w:color w:val="auto"/>
          <w:kern w:val="0"/>
          <w:lang w:bidi="ar"/>
        </w:rPr>
        <w:t>；</w:t>
      </w:r>
      <w:r>
        <w:rPr>
          <w:color w:val="auto"/>
          <w:kern w:val="0"/>
          <w:lang w:bidi="ar"/>
        </w:rPr>
        <w:t>尺寸偏差检测</w:t>
      </w:r>
      <w:r>
        <w:rPr>
          <w:rFonts w:hint="eastAsia"/>
          <w:color w:val="auto"/>
          <w:kern w:val="0"/>
          <w:lang w:bidi="ar"/>
        </w:rPr>
        <w:t>；</w:t>
      </w:r>
      <w:r>
        <w:rPr>
          <w:color w:val="auto"/>
          <w:kern w:val="0"/>
          <w:lang w:bidi="ar"/>
        </w:rPr>
        <w:t>连接节点及焊缝质量检查</w:t>
      </w:r>
      <w:r>
        <w:rPr>
          <w:rFonts w:hint="eastAsia"/>
          <w:color w:val="auto"/>
          <w:kern w:val="0"/>
          <w:lang w:bidi="ar"/>
        </w:rPr>
        <w:t>；</w:t>
      </w:r>
      <w:r>
        <w:rPr>
          <w:color w:val="auto"/>
          <w:kern w:val="0"/>
          <w:lang w:bidi="ar"/>
        </w:rPr>
        <w:t>腐蚀、变形及损伤检测</w:t>
      </w:r>
      <w:r>
        <w:rPr>
          <w:rFonts w:hint="eastAsia"/>
          <w:color w:val="auto"/>
          <w:kern w:val="0"/>
          <w:lang w:bidi="ar"/>
        </w:rPr>
        <w:t>；</w:t>
      </w:r>
      <w:r>
        <w:rPr>
          <w:color w:val="auto"/>
          <w:kern w:val="0"/>
          <w:lang w:bidi="ar"/>
        </w:rPr>
        <w:t>关键性能复核。</w:t>
      </w:r>
    </w:p>
    <w:p w14:paraId="2DA7CA7B">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4</w:t>
      </w:r>
      <w:r>
        <w:rPr>
          <w:b/>
          <w:bCs/>
          <w:color w:val="auto"/>
          <w:kern w:val="0"/>
          <w:lang w:bidi="ar"/>
        </w:rPr>
        <w:t>.</w:t>
      </w:r>
      <w:r>
        <w:rPr>
          <w:rFonts w:hint="eastAsia"/>
          <w:b/>
          <w:bCs/>
          <w:color w:val="auto"/>
          <w:kern w:val="0"/>
          <w:lang w:bidi="ar"/>
        </w:rPr>
        <w:t>3</w:t>
      </w:r>
      <w:r>
        <w:rPr>
          <w:rFonts w:hint="eastAsia"/>
          <w:color w:val="auto"/>
          <w:kern w:val="0"/>
          <w:lang w:bidi="ar"/>
        </w:rPr>
        <w:t xml:space="preserve">  </w:t>
      </w:r>
      <w:r>
        <w:rPr>
          <w:color w:val="auto"/>
          <w:kern w:val="0"/>
          <w:lang w:bidi="ar"/>
        </w:rPr>
        <w:t>集成平台主要承载构件宜采用无损检测方式进行质量评价。</w:t>
      </w:r>
    </w:p>
    <w:p w14:paraId="403AA29F">
      <w:pPr>
        <w:widowControl/>
        <w:rPr>
          <w:color w:val="auto"/>
          <w:kern w:val="0"/>
          <w:lang w:bidi="ar"/>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4</w:t>
      </w:r>
      <w:r>
        <w:rPr>
          <w:b/>
          <w:bCs/>
          <w:color w:val="auto"/>
          <w:kern w:val="0"/>
          <w:lang w:bidi="ar"/>
        </w:rPr>
        <w:t>.</w:t>
      </w:r>
      <w:r>
        <w:rPr>
          <w:rFonts w:hint="eastAsia"/>
          <w:b/>
          <w:bCs/>
          <w:color w:val="auto"/>
          <w:kern w:val="0"/>
          <w:lang w:bidi="ar"/>
        </w:rPr>
        <w:t>4</w:t>
      </w:r>
      <w:r>
        <w:rPr>
          <w:rFonts w:hint="eastAsia"/>
          <w:color w:val="auto"/>
          <w:kern w:val="0"/>
          <w:lang w:bidi="ar"/>
        </w:rPr>
        <w:t xml:space="preserve">  </w:t>
      </w:r>
      <w:r>
        <w:rPr>
          <w:color w:val="auto"/>
          <w:kern w:val="0"/>
          <w:lang w:bidi="ar"/>
        </w:rPr>
        <w:t>经检测评估后</w:t>
      </w:r>
      <w:r>
        <w:rPr>
          <w:rFonts w:hint="eastAsia"/>
          <w:color w:val="auto"/>
          <w:kern w:val="0"/>
          <w:lang w:bidi="ar"/>
        </w:rPr>
        <w:t>，</w:t>
      </w:r>
      <w:r>
        <w:rPr>
          <w:color w:val="auto"/>
          <w:kern w:val="0"/>
          <w:lang w:bidi="ar"/>
        </w:rPr>
        <w:t>集成平台构件宜按照下列等级进行分类：</w:t>
      </w:r>
    </w:p>
    <w:p w14:paraId="31292C6A">
      <w:pPr>
        <w:widowControl/>
        <w:ind w:firstLine="480" w:firstLineChars="200"/>
        <w:rPr>
          <w:color w:val="000000" w:themeColor="text1"/>
          <w:kern w:val="0"/>
          <w:lang w:bidi="ar"/>
          <w14:textFill>
            <w14:solidFill>
              <w14:schemeClr w14:val="tx1"/>
            </w14:solidFill>
          </w14:textFill>
        </w:rPr>
      </w:pPr>
      <w:r>
        <w:rPr>
          <w:color w:val="000000" w:themeColor="text1"/>
          <w:kern w:val="0"/>
          <w:lang w:bidi="ar"/>
          <w14:textFill>
            <w14:solidFill>
              <w14:schemeClr w14:val="tx1"/>
            </w14:solidFill>
          </w14:textFill>
        </w:rPr>
        <w:t>Ⅰ类：结构性能满足要求</w:t>
      </w:r>
      <w:r>
        <w:rPr>
          <w:rFonts w:hint="eastAsia"/>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可直接用于同类型施工集成平台周转使用</w:t>
      </w:r>
      <w:r>
        <w:rPr>
          <w:rFonts w:hint="eastAsia"/>
          <w:color w:val="000000" w:themeColor="text1"/>
          <w:kern w:val="0"/>
          <w:lang w:bidi="ar"/>
          <w14:textFill>
            <w14:solidFill>
              <w14:schemeClr w14:val="tx1"/>
            </w14:solidFill>
          </w14:textFill>
        </w:rPr>
        <w:t>；</w:t>
      </w:r>
    </w:p>
    <w:p w14:paraId="4DD643D6">
      <w:pPr>
        <w:widowControl/>
        <w:ind w:firstLine="480" w:firstLineChars="200"/>
        <w:rPr>
          <w:color w:val="000000" w:themeColor="text1"/>
          <w:kern w:val="0"/>
          <w:lang w:bidi="ar"/>
          <w14:textFill>
            <w14:solidFill>
              <w14:schemeClr w14:val="tx1"/>
            </w14:solidFill>
          </w14:textFill>
        </w:rPr>
      </w:pPr>
      <w:r>
        <w:rPr>
          <w:color w:val="000000" w:themeColor="text1"/>
          <w:kern w:val="0"/>
          <w:lang w:bidi="ar"/>
          <w14:textFill>
            <w14:solidFill>
              <w14:schemeClr w14:val="tx1"/>
            </w14:solidFill>
          </w14:textFill>
        </w:rPr>
        <w:t>Ⅱ类：存在一般性损伤或性能降低</w:t>
      </w:r>
      <w:r>
        <w:rPr>
          <w:rFonts w:hint="eastAsia"/>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经维修、校正或处理后可继续使用</w:t>
      </w:r>
      <w:r>
        <w:rPr>
          <w:rFonts w:hint="eastAsia"/>
          <w:color w:val="000000" w:themeColor="text1"/>
          <w:kern w:val="0"/>
          <w:lang w:bidi="ar"/>
          <w14:textFill>
            <w14:solidFill>
              <w14:schemeClr w14:val="tx1"/>
            </w14:solidFill>
          </w14:textFill>
        </w:rPr>
        <w:t>；</w:t>
      </w:r>
    </w:p>
    <w:p w14:paraId="47430E35">
      <w:pPr>
        <w:widowControl/>
        <w:ind w:firstLine="480" w:firstLineChars="200"/>
        <w:rPr>
          <w:color w:val="000000" w:themeColor="text1"/>
          <w:kern w:val="0"/>
          <w:lang w:bidi="ar"/>
          <w14:textFill>
            <w14:solidFill>
              <w14:schemeClr w14:val="tx1"/>
            </w14:solidFill>
          </w14:textFill>
        </w:rPr>
      </w:pPr>
      <w:r>
        <w:rPr>
          <w:color w:val="000000" w:themeColor="text1"/>
          <w:kern w:val="0"/>
          <w:lang w:bidi="ar"/>
          <w14:textFill>
            <w14:solidFill>
              <w14:schemeClr w14:val="tx1"/>
            </w14:solidFill>
          </w14:textFill>
        </w:rPr>
        <w:t>Ⅲ类：存在严重损伤、无法恢复使用或不满足安全要求</w:t>
      </w:r>
      <w:r>
        <w:rPr>
          <w:rFonts w:hint="eastAsia"/>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应进行回收处理。</w:t>
      </w:r>
    </w:p>
    <w:p w14:paraId="7893B370">
      <w:pPr>
        <w:widowControl/>
        <w:rPr>
          <w:color w:val="000000" w:themeColor="text1"/>
          <w:kern w:val="0"/>
          <w:lang w:bidi="ar"/>
          <w14:textFill>
            <w14:solidFill>
              <w14:schemeClr w14:val="tx1"/>
            </w14:solidFill>
          </w14:textFill>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4</w:t>
      </w:r>
      <w:r>
        <w:rPr>
          <w:b/>
          <w:bCs/>
          <w:color w:val="auto"/>
          <w:kern w:val="0"/>
          <w:lang w:bidi="ar"/>
        </w:rPr>
        <w:t>.</w:t>
      </w:r>
      <w:r>
        <w:rPr>
          <w:rFonts w:hint="eastAsia"/>
          <w:b/>
          <w:bCs/>
          <w:color w:val="000000" w:themeColor="text1"/>
          <w:kern w:val="0"/>
          <w:lang w:bidi="ar"/>
          <w14:textFill>
            <w14:solidFill>
              <w14:schemeClr w14:val="tx1"/>
            </w14:solidFill>
          </w14:textFill>
        </w:rPr>
        <w:t xml:space="preserve">5 </w:t>
      </w:r>
      <w:r>
        <w:rPr>
          <w:rFonts w:hint="eastAsia"/>
          <w:color w:val="000000" w:themeColor="text1"/>
          <w:kern w:val="0"/>
          <w:lang w:bidi="ar"/>
          <w14:textFill>
            <w14:solidFill>
              <w14:schemeClr w14:val="tx1"/>
            </w14:solidFill>
          </w14:textFill>
        </w:rPr>
        <w:t xml:space="preserve"> 集成平台各类系统的</w:t>
      </w:r>
      <w:r>
        <w:rPr>
          <w:rFonts w:hint="eastAsia"/>
          <w:color w:val="auto"/>
          <w:kern w:val="0"/>
          <w:lang w:bidi="ar"/>
        </w:rPr>
        <w:t>回收评估与检测，应重点检查如下：</w:t>
      </w:r>
    </w:p>
    <w:p w14:paraId="73DB33FD">
      <w:pPr>
        <w:widowControl/>
        <w:ind w:firstLine="482" w:firstLineChars="200"/>
        <w:rPr>
          <w:color w:val="000000" w:themeColor="text1"/>
          <w:kern w:val="0"/>
          <w:lang w:bidi="ar"/>
          <w14:textFill>
            <w14:solidFill>
              <w14:schemeClr w14:val="tx1"/>
            </w14:solidFill>
          </w14:textFill>
        </w:rPr>
      </w:pPr>
      <w:r>
        <w:rPr>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挂架系统（走道板、防护网、悬挑架等）： 应重点检查连接件磨损、踏板变形及防护网破损情况。无塑性变形及严重锈蚀的，除锈防腐后可回收；</w:t>
      </w:r>
    </w:p>
    <w:p w14:paraId="062B042D">
      <w:pPr>
        <w:widowControl/>
        <w:ind w:firstLine="482" w:firstLineChars="200"/>
        <w:rPr>
          <w:color w:val="000000" w:themeColor="text1"/>
          <w:kern w:val="0"/>
          <w:lang w:bidi="ar"/>
          <w14:textFill>
            <w14:solidFill>
              <w14:schemeClr w14:val="tx1"/>
            </w14:solidFill>
          </w14:textFill>
        </w:rPr>
      </w:pPr>
      <w:r>
        <w:rPr>
          <w:rFonts w:hint="eastAsia"/>
          <w:b/>
          <w:bCs/>
          <w:color w:val="000000" w:themeColor="text1"/>
          <w:kern w:val="0"/>
          <w:lang w:bidi="ar"/>
          <w14:textFill>
            <w14:solidFill>
              <w14:schemeClr w14:val="tx1"/>
            </w14:solidFill>
          </w14:textFill>
        </w:rPr>
        <w:t>2</w:t>
      </w:r>
      <w:r>
        <w:rPr>
          <w:rFonts w:hint="eastAsia"/>
          <w:b/>
          <w:bCs/>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钢平台系统（主副桁架、联系梁等）：必须进行外观检查，对承受交变荷载的关键焊缝及节点应进行无损探伤抽测（NDT）。发生永久性塑性变形或出现裂纹的受力构件，严禁再次作为主承载结构使用；</w:t>
      </w:r>
    </w:p>
    <w:p w14:paraId="340971A9">
      <w:pPr>
        <w:widowControl/>
        <w:ind w:firstLine="482" w:firstLineChars="200"/>
        <w:rPr>
          <w:color w:val="000000" w:themeColor="text1"/>
          <w:kern w:val="0"/>
          <w:lang w:bidi="ar"/>
          <w14:textFill>
            <w14:solidFill>
              <w14:schemeClr w14:val="tx1"/>
            </w14:solidFill>
          </w14:textFill>
        </w:rPr>
      </w:pPr>
      <w:r>
        <w:rPr>
          <w:rFonts w:hint="eastAsia"/>
          <w:b/>
          <w:bCs/>
          <w:color w:val="000000" w:themeColor="text1"/>
          <w:kern w:val="0"/>
          <w:lang w:bidi="ar"/>
          <w14:textFill>
            <w14:solidFill>
              <w14:schemeClr w14:val="tx1"/>
            </w14:solidFill>
          </w14:textFill>
        </w:rPr>
        <w:t>3</w:t>
      </w:r>
      <w:r>
        <w:rPr>
          <w:rFonts w:hint="eastAsia"/>
          <w:b/>
          <w:bCs/>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支承系统（支承立柱、支撑转换节等）：应重点检测垂直度偏差、销轴孔磨损量及承压面平整度。超出允许变形范围或存在疲劳损伤的，应予以报废；</w:t>
      </w:r>
    </w:p>
    <w:p w14:paraId="38A5507A">
      <w:pPr>
        <w:widowControl/>
        <w:ind w:firstLine="482" w:firstLineChars="200"/>
        <w:rPr>
          <w:color w:val="000000" w:themeColor="text1"/>
          <w:kern w:val="0"/>
          <w:lang w:bidi="ar"/>
          <w14:textFill>
            <w14:solidFill>
              <w14:schemeClr w14:val="tx1"/>
            </w14:solidFill>
          </w14:textFill>
        </w:rPr>
      </w:pPr>
      <w:r>
        <w:rPr>
          <w:rFonts w:hint="eastAsia"/>
          <w:b/>
          <w:bCs/>
          <w:color w:val="000000" w:themeColor="text1"/>
          <w:kern w:val="0"/>
          <w:lang w:bidi="ar"/>
          <w14:textFill>
            <w14:solidFill>
              <w14:schemeClr w14:val="tx1"/>
            </w14:solidFill>
          </w14:textFill>
        </w:rPr>
        <w:t>4</w:t>
      </w:r>
      <w:r>
        <w:rPr>
          <w:rFonts w:hint="eastAsia"/>
          <w:b/>
          <w:bCs/>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电气智能化系统（控制柜、传感器、线缆等）： 应重点进行绝缘电阻测试、通电功能校验及传感器标定。外皮破损的线缆及灵敏度下降的传感器应予以报废；</w:t>
      </w:r>
    </w:p>
    <w:p w14:paraId="275F0F1F">
      <w:pPr>
        <w:widowControl/>
        <w:ind w:firstLine="482" w:firstLineChars="200"/>
        <w:rPr>
          <w:color w:val="000000" w:themeColor="text1"/>
          <w:kern w:val="0"/>
          <w:lang w:bidi="ar"/>
          <w14:textFill>
            <w14:solidFill>
              <w14:schemeClr w14:val="tx1"/>
            </w14:solidFill>
          </w14:textFill>
        </w:rPr>
      </w:pPr>
      <w:r>
        <w:rPr>
          <w:rFonts w:hint="eastAsia"/>
          <w:b/>
          <w:bCs/>
          <w:color w:val="000000" w:themeColor="text1"/>
          <w:kern w:val="0"/>
          <w:lang w:bidi="ar"/>
          <w14:textFill>
            <w14:solidFill>
              <w14:schemeClr w14:val="tx1"/>
            </w14:solidFill>
          </w14:textFill>
        </w:rPr>
        <w:t>5</w:t>
      </w:r>
      <w:r>
        <w:rPr>
          <w:rFonts w:hint="eastAsia"/>
          <w:b/>
          <w:bCs/>
          <w:color w:val="000000" w:themeColor="text1"/>
          <w:kern w:val="0"/>
          <w:lang w:val="en-US" w:eastAsia="zh-CN" w:bidi="ar"/>
          <w14:textFill>
            <w14:solidFill>
              <w14:schemeClr w14:val="tx1"/>
            </w14:solidFill>
          </w14:textFill>
        </w:rPr>
        <w:t xml:space="preserve">  </w:t>
      </w:r>
      <w:r>
        <w:rPr>
          <w:color w:val="000000" w:themeColor="text1"/>
          <w:kern w:val="0"/>
          <w:lang w:bidi="ar"/>
          <w14:textFill>
            <w14:solidFill>
              <w14:schemeClr w14:val="tx1"/>
            </w14:solidFill>
          </w14:textFill>
        </w:rPr>
        <w:t>如配置轨道机器人系统时</w:t>
      </w:r>
      <w:r>
        <w:rPr>
          <w:rFonts w:hint="eastAsia"/>
          <w:color w:val="000000" w:themeColor="text1"/>
          <w:kern w:val="0"/>
          <w:lang w:bidi="ar"/>
          <w14:textFill>
            <w14:solidFill>
              <w14:schemeClr w14:val="tx1"/>
            </w14:solidFill>
          </w14:textFill>
        </w:rPr>
        <w:t>（行走机构、作业机械臂、控制终端等）： 应重点核验机械臂活动间隙、轨道轮磨损量及程序控制精度。应进行专项性能测试，合格后封存保管；</w:t>
      </w:r>
    </w:p>
    <w:p w14:paraId="6D765535">
      <w:pPr>
        <w:widowControl/>
        <w:ind w:firstLine="482" w:firstLineChars="200"/>
        <w:rPr>
          <w:color w:val="000000" w:themeColor="text1"/>
          <w:kern w:val="0"/>
          <w:lang w:bidi="ar"/>
          <w14:textFill>
            <w14:solidFill>
              <w14:schemeClr w14:val="tx1"/>
            </w14:solidFill>
          </w14:textFill>
        </w:rPr>
      </w:pPr>
      <w:r>
        <w:rPr>
          <w:rFonts w:hint="eastAsia"/>
          <w:b/>
          <w:bCs/>
          <w:color w:val="000000" w:themeColor="text1"/>
          <w:kern w:val="0"/>
          <w:lang w:bidi="ar"/>
          <w14:textFill>
            <w14:solidFill>
              <w14:schemeClr w14:val="tx1"/>
            </w14:solidFill>
          </w14:textFill>
        </w:rPr>
        <w:t>6</w:t>
      </w:r>
      <w:r>
        <w:rPr>
          <w:rFonts w:hint="eastAsia"/>
          <w:b/>
          <w:bCs/>
          <w:color w:val="000000" w:themeColor="text1"/>
          <w:kern w:val="0"/>
          <w:lang w:val="en-US" w:eastAsia="zh-CN" w:bidi="ar"/>
          <w14:textFill>
            <w14:solidFill>
              <w14:schemeClr w14:val="tx1"/>
            </w14:solidFill>
          </w14:textFill>
        </w:rPr>
        <w:t xml:space="preserve">  </w:t>
      </w:r>
      <w:r>
        <w:rPr>
          <w:rFonts w:hint="eastAsia"/>
          <w:color w:val="000000" w:themeColor="text1"/>
          <w:kern w:val="0"/>
          <w:lang w:bidi="ar"/>
          <w14:textFill>
            <w14:solidFill>
              <w14:schemeClr w14:val="tx1"/>
            </w14:solidFill>
          </w14:textFill>
        </w:rPr>
        <w:t>其他附属设备（液压泵站、油缸、管路等）： 应重点检查密封件老化、缸筒内壁拉伤及保压性能。液压油应采用专用设备过滤回收或交由专业机构进行环保处理。</w:t>
      </w:r>
    </w:p>
    <w:p w14:paraId="29B0761C">
      <w:pPr>
        <w:widowControl/>
        <w:rPr>
          <w:color w:val="000000" w:themeColor="text1"/>
          <w:kern w:val="0"/>
          <w:lang w:bidi="ar"/>
          <w14:textFill>
            <w14:solidFill>
              <w14:schemeClr w14:val="tx1"/>
            </w14:solidFill>
          </w14:textFill>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4</w:t>
      </w:r>
      <w:r>
        <w:rPr>
          <w:b/>
          <w:bCs/>
          <w:color w:val="auto"/>
          <w:kern w:val="0"/>
          <w:lang w:bidi="ar"/>
        </w:rPr>
        <w:t>.</w:t>
      </w:r>
      <w:r>
        <w:rPr>
          <w:rFonts w:hint="eastAsia"/>
          <w:b/>
          <w:bCs/>
          <w:color w:val="000000" w:themeColor="text1"/>
          <w:kern w:val="0"/>
          <w:lang w:bidi="ar"/>
          <w14:textFill>
            <w14:solidFill>
              <w14:schemeClr w14:val="tx1"/>
            </w14:solidFill>
          </w14:textFill>
        </w:rPr>
        <w:t xml:space="preserve">6 </w:t>
      </w:r>
      <w:r>
        <w:rPr>
          <w:rFonts w:hint="eastAsia"/>
          <w:color w:val="000000" w:themeColor="text1"/>
          <w:kern w:val="0"/>
          <w:lang w:bidi="ar"/>
          <w14:textFill>
            <w14:solidFill>
              <w14:schemeClr w14:val="tx1"/>
            </w14:solidFill>
          </w14:textFill>
        </w:rPr>
        <w:t xml:space="preserve"> 构件回收再利用率的计算应按分类量化原则进行统计：钢平台、支承系统及挂架等钢结构类，宜按构件重量进行统计；电气智能化、轨道机器人及液压系统等机电设备类，宜按设备台套数进行统计。</w:t>
      </w:r>
    </w:p>
    <w:p w14:paraId="25D7B6C2">
      <w:pPr>
        <w:widowControl/>
        <w:rPr>
          <w:color w:val="000000" w:themeColor="text1"/>
          <w:kern w:val="0"/>
          <w:lang w:bidi="ar"/>
          <w14:textFill>
            <w14:solidFill>
              <w14:schemeClr w14:val="tx1"/>
            </w14:solidFill>
          </w14:textFill>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4</w:t>
      </w:r>
      <w:r>
        <w:rPr>
          <w:b/>
          <w:bCs/>
          <w:color w:val="auto"/>
          <w:kern w:val="0"/>
          <w:lang w:bidi="ar"/>
        </w:rPr>
        <w:t>.</w:t>
      </w:r>
      <w:r>
        <w:rPr>
          <w:rFonts w:hint="eastAsia"/>
          <w:b/>
          <w:bCs/>
          <w:color w:val="000000" w:themeColor="text1"/>
          <w:kern w:val="0"/>
          <w:lang w:bidi="ar"/>
          <w14:textFill>
            <w14:solidFill>
              <w14:schemeClr w14:val="tx1"/>
            </w14:solidFill>
          </w14:textFill>
        </w:rPr>
        <w:t>7</w:t>
      </w:r>
      <w:r>
        <w:rPr>
          <w:rFonts w:hint="eastAsia"/>
          <w:color w:val="000000" w:themeColor="text1"/>
          <w:kern w:val="0"/>
          <w:lang w:bidi="ar"/>
          <w14:textFill>
            <w14:solidFill>
              <w14:schemeClr w14:val="tx1"/>
            </w14:solidFill>
          </w14:textFill>
        </w:rPr>
        <w:t xml:space="preserve">  </w:t>
      </w:r>
      <w:r>
        <w:rPr>
          <w:color w:val="000000" w:themeColor="text1"/>
          <w:kern w:val="0"/>
          <w:lang w:bidi="ar"/>
          <w14:textFill>
            <w14:solidFill>
              <w14:schemeClr w14:val="tx1"/>
            </w14:solidFill>
          </w14:textFill>
        </w:rPr>
        <w:t>采用智能化管理系统的集成平台</w:t>
      </w:r>
      <w:r>
        <w:rPr>
          <w:rFonts w:hint="eastAsia"/>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宜建立构件数字档案</w:t>
      </w:r>
      <w:r>
        <w:rPr>
          <w:rFonts w:hint="eastAsia"/>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记录构件编号、使用次数、检测结果、维修记录及再利用状态</w:t>
      </w:r>
      <w:r>
        <w:rPr>
          <w:rFonts w:hint="eastAsia"/>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实现构件全生命周期管理。</w:t>
      </w:r>
    </w:p>
    <w:p w14:paraId="7441E78C">
      <w:pPr>
        <w:widowControl/>
        <w:rPr>
          <w:color w:val="000000" w:themeColor="text1"/>
          <w:kern w:val="0"/>
          <w:lang w:bidi="ar"/>
          <w14:textFill>
            <w14:solidFill>
              <w14:schemeClr w14:val="tx1"/>
            </w14:solidFill>
          </w14:textFill>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4</w:t>
      </w:r>
      <w:r>
        <w:rPr>
          <w:b/>
          <w:bCs/>
          <w:color w:val="auto"/>
          <w:kern w:val="0"/>
          <w:lang w:bidi="ar"/>
        </w:rPr>
        <w:t>.</w:t>
      </w:r>
      <w:r>
        <w:rPr>
          <w:rFonts w:hint="eastAsia"/>
          <w:b/>
          <w:bCs/>
          <w:color w:val="000000" w:themeColor="text1"/>
          <w:kern w:val="0"/>
          <w:lang w:bidi="ar"/>
          <w14:textFill>
            <w14:solidFill>
              <w14:schemeClr w14:val="tx1"/>
            </w14:solidFill>
          </w14:textFill>
        </w:rPr>
        <w:t>8</w:t>
      </w:r>
      <w:r>
        <w:rPr>
          <w:rFonts w:hint="eastAsia"/>
          <w:color w:val="000000" w:themeColor="text1"/>
          <w:kern w:val="0"/>
          <w:lang w:bidi="ar"/>
          <w14:textFill>
            <w14:solidFill>
              <w14:schemeClr w14:val="tx1"/>
            </w14:solidFill>
          </w14:textFill>
        </w:rPr>
        <w:t xml:space="preserve">  经评估判定为可重复使用的构件（Ⅰ类、Ⅱ类），应重新进行唯一性编码，出具《回收构件合格鉴定书》，分类打包并采取防雨、防潮、防变形的措施妥善建档入库。</w:t>
      </w:r>
    </w:p>
    <w:p w14:paraId="28A353FC">
      <w:pPr>
        <w:widowControl/>
        <w:rPr>
          <w:color w:val="000000" w:themeColor="text1"/>
          <w:kern w:val="0"/>
          <w:lang w:bidi="ar"/>
          <w14:textFill>
            <w14:solidFill>
              <w14:schemeClr w14:val="tx1"/>
            </w14:solidFill>
          </w14:textFill>
        </w:rPr>
      </w:pPr>
      <w:r>
        <w:rPr>
          <w:rFonts w:hint="eastAsia"/>
          <w:b/>
          <w:bCs/>
          <w:color w:val="auto"/>
          <w:kern w:val="0"/>
          <w:lang w:bidi="ar"/>
        </w:rPr>
        <w:t>1</w:t>
      </w:r>
      <w:r>
        <w:rPr>
          <w:rFonts w:hint="eastAsia"/>
          <w:b/>
          <w:bCs/>
          <w:color w:val="auto"/>
          <w:kern w:val="0"/>
          <w:lang w:val="en-US" w:eastAsia="zh-CN" w:bidi="ar"/>
        </w:rPr>
        <w:t>1</w:t>
      </w:r>
      <w:r>
        <w:rPr>
          <w:b/>
          <w:bCs/>
          <w:color w:val="auto"/>
          <w:kern w:val="0"/>
          <w:lang w:bidi="ar"/>
        </w:rPr>
        <w:t>.</w:t>
      </w:r>
      <w:r>
        <w:rPr>
          <w:rFonts w:hint="eastAsia"/>
          <w:b/>
          <w:bCs/>
          <w:color w:val="auto"/>
          <w:kern w:val="0"/>
          <w:lang w:val="en-US" w:eastAsia="zh-CN" w:bidi="ar"/>
        </w:rPr>
        <w:t>4</w:t>
      </w:r>
      <w:r>
        <w:rPr>
          <w:b/>
          <w:bCs/>
          <w:color w:val="auto"/>
          <w:kern w:val="0"/>
          <w:lang w:bidi="ar"/>
        </w:rPr>
        <w:t>.</w:t>
      </w:r>
      <w:r>
        <w:rPr>
          <w:rFonts w:hint="eastAsia"/>
          <w:b/>
          <w:bCs/>
          <w:color w:val="000000" w:themeColor="text1"/>
          <w:kern w:val="0"/>
          <w:lang w:bidi="ar"/>
          <w14:textFill>
            <w14:solidFill>
              <w14:schemeClr w14:val="tx1"/>
            </w14:solidFill>
          </w14:textFill>
        </w:rPr>
        <w:t>9</w:t>
      </w:r>
      <w:r>
        <w:rPr>
          <w:rFonts w:hint="eastAsia"/>
          <w:color w:val="000000" w:themeColor="text1"/>
          <w:kern w:val="0"/>
          <w:lang w:bidi="ar"/>
          <w14:textFill>
            <w14:solidFill>
              <w14:schemeClr w14:val="tx1"/>
            </w14:solidFill>
          </w14:textFill>
        </w:rPr>
        <w:t xml:space="preserve">  </w:t>
      </w:r>
      <w:r>
        <w:rPr>
          <w:color w:val="000000" w:themeColor="text1"/>
          <w:kern w:val="0"/>
          <w:lang w:bidi="ar"/>
          <w14:textFill>
            <w14:solidFill>
              <w14:schemeClr w14:val="tx1"/>
            </w14:solidFill>
          </w14:textFill>
        </w:rPr>
        <w:t>平台构件分类堆放应符合下列要求：</w:t>
      </w:r>
    </w:p>
    <w:p w14:paraId="5A0D66CD">
      <w:pPr>
        <w:widowControl/>
        <w:ind w:firstLine="482" w:firstLineChars="200"/>
        <w:rPr>
          <w:color w:val="000000" w:themeColor="text1"/>
          <w:kern w:val="0"/>
          <w:lang w:bidi="ar"/>
          <w14:textFill>
            <w14:solidFill>
              <w14:schemeClr w14:val="tx1"/>
            </w14:solidFill>
          </w14:textFill>
        </w:rPr>
      </w:pPr>
      <w:r>
        <w:rPr>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 xml:space="preserve">  </w:t>
      </w:r>
      <w:r>
        <w:rPr>
          <w:color w:val="000000" w:themeColor="text1"/>
          <w:kern w:val="0"/>
          <w:lang w:bidi="ar"/>
          <w14:textFill>
            <w14:solidFill>
              <w14:schemeClr w14:val="tx1"/>
            </w14:solidFill>
          </w14:textFill>
        </w:rPr>
        <w:t>钢结构承载构件、连接构件、防护构件、电气设备及液压设备应分类存放</w:t>
      </w:r>
      <w:r>
        <w:rPr>
          <w:rFonts w:hint="eastAsia"/>
          <w:color w:val="000000" w:themeColor="text1"/>
          <w:kern w:val="0"/>
          <w:lang w:bidi="ar"/>
          <w14:textFill>
            <w14:solidFill>
              <w14:schemeClr w14:val="tx1"/>
            </w14:solidFill>
          </w14:textFill>
        </w:rPr>
        <w:t>；</w:t>
      </w:r>
    </w:p>
    <w:p w14:paraId="0CBB0D7E">
      <w:pPr>
        <w:widowControl/>
        <w:ind w:firstLine="482" w:firstLineChars="200"/>
        <w:rPr>
          <w:color w:val="000000" w:themeColor="text1"/>
          <w:kern w:val="0"/>
          <w:lang w:bidi="ar"/>
          <w14:textFill>
            <w14:solidFill>
              <w14:schemeClr w14:val="tx1"/>
            </w14:solidFill>
          </w14:textFill>
        </w:rPr>
      </w:pPr>
      <w:r>
        <w:rPr>
          <w:b/>
          <w:bCs/>
          <w:color w:val="000000" w:themeColor="text1"/>
          <w:kern w:val="0"/>
          <w:lang w:bidi="ar"/>
          <w14:textFill>
            <w14:solidFill>
              <w14:schemeClr w14:val="tx1"/>
            </w14:solidFill>
          </w14:textFill>
        </w:rPr>
        <w:t>2</w:t>
      </w:r>
      <w:r>
        <w:rPr>
          <w:rFonts w:hint="eastAsia"/>
          <w:b/>
          <w:bCs/>
          <w:color w:val="000000" w:themeColor="text1"/>
          <w:kern w:val="0"/>
          <w:lang w:val="en-US" w:eastAsia="zh-CN" w:bidi="ar"/>
          <w14:textFill>
            <w14:solidFill>
              <w14:schemeClr w14:val="tx1"/>
            </w14:solidFill>
          </w14:textFill>
        </w:rPr>
        <w:t xml:space="preserve">  </w:t>
      </w:r>
      <w:r>
        <w:rPr>
          <w:color w:val="000000" w:themeColor="text1"/>
          <w:kern w:val="0"/>
          <w:lang w:bidi="ar"/>
          <w14:textFill>
            <w14:solidFill>
              <w14:schemeClr w14:val="tx1"/>
            </w14:solidFill>
          </w14:textFill>
        </w:rPr>
        <w:t>可周转使用构件、待维修构件、报废构件应分区堆放</w:t>
      </w:r>
      <w:r>
        <w:rPr>
          <w:rFonts w:hint="eastAsia"/>
          <w:color w:val="000000" w:themeColor="text1"/>
          <w:kern w:val="0"/>
          <w:lang w:bidi="ar"/>
          <w14:textFill>
            <w14:solidFill>
              <w14:schemeClr w14:val="tx1"/>
            </w14:solidFill>
          </w14:textFill>
        </w:rPr>
        <w:t>；</w:t>
      </w:r>
    </w:p>
    <w:p w14:paraId="161B616E">
      <w:pPr>
        <w:widowControl/>
        <w:ind w:firstLine="482" w:firstLineChars="200"/>
        <w:rPr>
          <w:color w:val="000000" w:themeColor="text1"/>
          <w:kern w:val="0"/>
          <w:lang w:bidi="ar"/>
          <w14:textFill>
            <w14:solidFill>
              <w14:schemeClr w14:val="tx1"/>
            </w14:solidFill>
          </w14:textFill>
        </w:rPr>
      </w:pPr>
      <w:r>
        <w:rPr>
          <w:b/>
          <w:bCs/>
          <w:color w:val="000000" w:themeColor="text1"/>
          <w:kern w:val="0"/>
          <w:lang w:bidi="ar"/>
          <w14:textFill>
            <w14:solidFill>
              <w14:schemeClr w14:val="tx1"/>
            </w14:solidFill>
          </w14:textFill>
        </w:rPr>
        <w:t>3</w:t>
      </w:r>
      <w:r>
        <w:rPr>
          <w:rFonts w:hint="eastAsia"/>
          <w:b/>
          <w:bCs/>
          <w:color w:val="000000" w:themeColor="text1"/>
          <w:kern w:val="0"/>
          <w:lang w:val="en-US" w:eastAsia="zh-CN" w:bidi="ar"/>
          <w14:textFill>
            <w14:solidFill>
              <w14:schemeClr w14:val="tx1"/>
            </w14:solidFill>
          </w14:textFill>
        </w:rPr>
        <w:t xml:space="preserve">  </w:t>
      </w:r>
      <w:r>
        <w:rPr>
          <w:color w:val="000000" w:themeColor="text1"/>
          <w:kern w:val="0"/>
          <w:lang w:bidi="ar"/>
          <w14:textFill>
            <w14:solidFill>
              <w14:schemeClr w14:val="tx1"/>
            </w14:solidFill>
          </w14:textFill>
        </w:rPr>
        <w:t>变形、损伤或报废构件应单独标识</w:t>
      </w:r>
      <w:r>
        <w:rPr>
          <w:rFonts w:hint="eastAsia"/>
          <w:color w:val="000000" w:themeColor="text1"/>
          <w:kern w:val="0"/>
          <w:lang w:bidi="ar"/>
          <w14:textFill>
            <w14:solidFill>
              <w14:schemeClr w14:val="tx1"/>
            </w14:solidFill>
          </w14:textFill>
        </w:rPr>
        <w:t>；</w:t>
      </w:r>
    </w:p>
    <w:p w14:paraId="6EAB48F9">
      <w:pPr>
        <w:widowControl/>
        <w:ind w:firstLine="482" w:firstLineChars="200"/>
        <w:rPr>
          <w:color w:val="000000" w:themeColor="text1"/>
          <w:kern w:val="0"/>
          <w:lang w:bidi="ar"/>
          <w14:textFill>
            <w14:solidFill>
              <w14:schemeClr w14:val="tx1"/>
            </w14:solidFill>
          </w14:textFill>
        </w:rPr>
      </w:pPr>
      <w:r>
        <w:rPr>
          <w:b/>
          <w:bCs/>
          <w:color w:val="000000" w:themeColor="text1"/>
          <w:kern w:val="0"/>
          <w:lang w:bidi="ar"/>
          <w14:textFill>
            <w14:solidFill>
              <w14:schemeClr w14:val="tx1"/>
            </w14:solidFill>
          </w14:textFill>
        </w:rPr>
        <w:t>4</w:t>
      </w:r>
      <w:r>
        <w:rPr>
          <w:rFonts w:hint="eastAsia"/>
          <w:b/>
          <w:bCs/>
          <w:color w:val="000000" w:themeColor="text1"/>
          <w:kern w:val="0"/>
          <w:lang w:val="en-US" w:eastAsia="zh-CN" w:bidi="ar"/>
          <w14:textFill>
            <w14:solidFill>
              <w14:schemeClr w14:val="tx1"/>
            </w14:solidFill>
          </w14:textFill>
        </w:rPr>
        <w:t xml:space="preserve">  </w:t>
      </w:r>
      <w:r>
        <w:rPr>
          <w:color w:val="000000" w:themeColor="text1"/>
          <w:kern w:val="0"/>
          <w:lang w:bidi="ar"/>
          <w14:textFill>
            <w14:solidFill>
              <w14:schemeClr w14:val="tx1"/>
            </w14:solidFill>
          </w14:textFill>
        </w:rPr>
        <w:t>堆放区域应采取防雨、防锈蚀及防变形措施。</w:t>
      </w:r>
    </w:p>
    <w:p w14:paraId="569EC606">
      <w:pPr>
        <w:pStyle w:val="3"/>
        <w:bidi w:val="0"/>
        <w:rPr>
          <w:rFonts w:hint="eastAsia"/>
          <w:b/>
          <w:bCs/>
          <w:color w:val="auto"/>
          <w:kern w:val="0"/>
          <w:lang w:bidi="ar"/>
        </w:rPr>
      </w:pPr>
      <w:bookmarkStart w:id="191" w:name="_Toc19519"/>
      <w:r>
        <w:rPr>
          <w:rFonts w:hint="eastAsia"/>
          <w:color w:val="000000" w:themeColor="text1"/>
          <w:lang w:val="en-US" w:eastAsia="zh-CN"/>
          <w14:textFill>
            <w14:solidFill>
              <w14:schemeClr w14:val="tx1"/>
            </w14:solidFill>
          </w14:textFill>
        </w:rPr>
        <w:t>11</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拆除阶段安全要求</w:t>
      </w:r>
      <w:bookmarkEnd w:id="191"/>
    </w:p>
    <w:p w14:paraId="18684EBE">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 xml:space="preserve">  </w:t>
      </w:r>
      <w:r>
        <w:rPr>
          <w:rFonts w:hint="eastAsia"/>
          <w:color w:val="000000" w:themeColor="text1"/>
          <w14:textFill>
            <w14:solidFill>
              <w14:schemeClr w14:val="tx1"/>
            </w14:solidFill>
          </w14:textFill>
        </w:rPr>
        <w:t>集成平台拆除前，应对拆除状态下的集成平台结构安全性进行验算，并应确认结构承载能力、连接节点及附着系统满足拆除过程安全要求。</w:t>
      </w:r>
    </w:p>
    <w:p w14:paraId="0CAB7E4B">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2</w:t>
      </w:r>
      <w:r>
        <w:rPr>
          <w:rFonts w:hint="eastAsia"/>
          <w:color w:val="000000" w:themeColor="text1"/>
          <w14:textFill>
            <w14:solidFill>
              <w14:schemeClr w14:val="tx1"/>
            </w14:solidFill>
          </w14:textFill>
        </w:rPr>
        <w:t xml:space="preserve">  集成平台拆除前结构稳定验算，应考虑下列因素：</w:t>
      </w:r>
    </w:p>
    <w:p w14:paraId="623F227A">
      <w:pPr>
        <w:ind w:firstLine="482"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拆除过程中结构体系变化；</w:t>
      </w:r>
    </w:p>
    <w:p w14:paraId="75ACF8B4">
      <w:pPr>
        <w:ind w:firstLine="482"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临时支撑及附着点受力变化；</w:t>
      </w:r>
    </w:p>
    <w:p w14:paraId="4AAF0346">
      <w:pPr>
        <w:ind w:firstLine="482"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构件拆除顺序影响；</w:t>
      </w:r>
    </w:p>
    <w:p w14:paraId="73E343EE">
      <w:pPr>
        <w:ind w:firstLine="482"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4</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吊装过程中产生的附加荷载；</w:t>
      </w:r>
    </w:p>
    <w:p w14:paraId="5D66979C">
      <w:pPr>
        <w:ind w:firstLine="482"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5</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风荷载等环境因素影响。</w:t>
      </w:r>
    </w:p>
    <w:p w14:paraId="62908157">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3</w:t>
      </w:r>
      <w:r>
        <w:rPr>
          <w:rFonts w:hint="eastAsia"/>
          <w:color w:val="000000" w:themeColor="text1"/>
          <w14:textFill>
            <w14:solidFill>
              <w14:schemeClr w14:val="tx1"/>
            </w14:solidFill>
          </w14:textFill>
        </w:rPr>
        <w:t xml:space="preserve">  集成平台采用分模块、分段或分构件拆除方式时，应对拆除过程进行专项安全分析，明确各阶段结构状态及安全控制措施。</w:t>
      </w:r>
    </w:p>
    <w:p w14:paraId="4867FB1A">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4</w:t>
      </w:r>
      <w:r>
        <w:rPr>
          <w:rFonts w:hint="eastAsia"/>
          <w:color w:val="000000" w:themeColor="text1"/>
          <w14:textFill>
            <w14:solidFill>
              <w14:schemeClr w14:val="tx1"/>
            </w14:solidFill>
          </w14:textFill>
        </w:rPr>
        <w:t xml:space="preserve">  分段拆除安全分析内容宜包括：拆除单元划分；拆除顺序及工艺流程；临时支撑设置；受力转换过程分析；起重吊装工况分析；风险控制措施。</w:t>
      </w:r>
    </w:p>
    <w:p w14:paraId="5382ACD8">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5</w:t>
      </w:r>
      <w:r>
        <w:rPr>
          <w:rFonts w:hint="eastAsia"/>
          <w:color w:val="000000" w:themeColor="text1"/>
          <w14:textFill>
            <w14:solidFill>
              <w14:schemeClr w14:val="tx1"/>
            </w14:solidFill>
          </w14:textFill>
        </w:rPr>
        <w:t xml:space="preserve">  集成平台拆除作业区域应设置安全警戒区，并应采取隔离、防护和警示措施，拆除过程中应安排专人进行现场安全管理，严禁无关人员进入警戒区域，拆除现场应预留施工人员安全撤离的通道，并保持畅通。</w:t>
      </w:r>
    </w:p>
    <w:p w14:paraId="46A292EF">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6</w:t>
      </w:r>
      <w:r>
        <w:rPr>
          <w:rFonts w:hint="eastAsia"/>
          <w:color w:val="000000" w:themeColor="text1"/>
          <w14:textFill>
            <w14:solidFill>
              <w14:schemeClr w14:val="tx1"/>
            </w14:solidFill>
          </w14:textFill>
        </w:rPr>
        <w:t xml:space="preserve">  安全警戒区范围应根据拆除高度、构件重量、吊装路径及可能影响范围确定，并应符合现行有关标准要求。</w:t>
      </w:r>
    </w:p>
    <w:p w14:paraId="228B796B">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7</w:t>
      </w:r>
      <w:r>
        <w:rPr>
          <w:rFonts w:hint="eastAsia"/>
          <w:color w:val="000000" w:themeColor="text1"/>
          <w14:textFill>
            <w14:solidFill>
              <w14:schemeClr w14:val="tx1"/>
            </w14:solidFill>
          </w14:textFill>
        </w:rPr>
        <w:t xml:space="preserve">  高处拆除作业、构件吊运作业及地面解体作业不得形成交叉施工，确需交叉作业时，应制定专项安全防护及隔离措施。</w:t>
      </w:r>
    </w:p>
    <w:p w14:paraId="3B069B75">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8</w:t>
      </w:r>
      <w:r>
        <w:rPr>
          <w:rFonts w:hint="eastAsia"/>
          <w:color w:val="000000" w:themeColor="text1"/>
          <w14:textFill>
            <w14:solidFill>
              <w14:schemeClr w14:val="tx1"/>
            </w14:solidFill>
          </w14:textFill>
        </w:rPr>
        <w:t xml:space="preserve">  拆除过程中，未经确认不得提前拆除承载结构、附着装置或临时稳定措施，不得进行可能导致集成平台失稳的同步拆除作业。</w:t>
      </w:r>
    </w:p>
    <w:p w14:paraId="557808BC">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9</w:t>
      </w:r>
      <w:r>
        <w:rPr>
          <w:rFonts w:hint="eastAsia"/>
          <w:color w:val="000000" w:themeColor="text1"/>
          <w14:textFill>
            <w14:solidFill>
              <w14:schemeClr w14:val="tx1"/>
            </w14:solidFill>
          </w14:textFill>
        </w:rPr>
        <w:t xml:space="preserve">  集成平台拆除过程中，必须严格采取人员防坠落和构件防坠落措施；集成平台构件拆除及吊运过程中，应采取防止构件坠落、摆动和碰撞的牵引或限制措施。</w:t>
      </w:r>
    </w:p>
    <w:p w14:paraId="65B48BEF">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10</w:t>
      </w:r>
      <w:r>
        <w:rPr>
          <w:rFonts w:hint="eastAsia"/>
          <w:color w:val="000000" w:themeColor="text1"/>
          <w14:textFill>
            <w14:solidFill>
              <w14:schemeClr w14:val="tx1"/>
            </w14:solidFill>
          </w14:textFill>
        </w:rPr>
        <w:t xml:space="preserve">  集成平台构件分解时，应符合下列规定：</w:t>
      </w:r>
    </w:p>
    <w:p w14:paraId="4CD180CF">
      <w:pPr>
        <w:keepNext w:val="0"/>
        <w:keepLines w:val="0"/>
        <w:pageBreakBefore w:val="0"/>
        <w:widowControl w:val="0"/>
        <w:kinsoku/>
        <w:wordWrap/>
        <w:overflowPunct/>
        <w:topLinePunct w:val="0"/>
        <w:autoSpaceDE/>
        <w:autoSpaceDN/>
        <w:bidi w:val="0"/>
        <w:adjustRightInd/>
        <w:snapToGrid/>
        <w:ind w:firstLine="482" w:firstLineChars="200"/>
        <w:textAlignment w:val="auto"/>
        <w:rPr>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应按照拆除方案确定的模块单元进行分解；</w:t>
      </w:r>
    </w:p>
    <w:p w14:paraId="396608D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应优先采用原设计连接方式进行拆卸；</w:t>
      </w:r>
    </w:p>
    <w:p w14:paraId="76D68B42">
      <w:pPr>
        <w:keepNext w:val="0"/>
        <w:keepLines w:val="0"/>
        <w:pageBreakBefore w:val="0"/>
        <w:widowControl w:val="0"/>
        <w:kinsoku/>
        <w:wordWrap/>
        <w:overflowPunct/>
        <w:topLinePunct w:val="0"/>
        <w:autoSpaceDE/>
        <w:autoSpaceDN/>
        <w:bidi w:val="0"/>
        <w:adjustRightInd/>
        <w:snapToGrid/>
        <w:ind w:firstLine="482" w:firstLineChars="200"/>
        <w:textAlignment w:val="auto"/>
        <w:rPr>
          <w:color w:val="000000" w:themeColor="text1"/>
          <w14:textFill>
            <w14:solidFill>
              <w14:schemeClr w14:val="tx1"/>
            </w14:solidFill>
          </w14:textFill>
        </w:rPr>
      </w:pPr>
      <w:r>
        <w:rPr>
          <w:rFonts w:hint="eastAsia"/>
          <w:b/>
          <w:bCs/>
          <w:color w:val="000000" w:themeColor="text1"/>
          <w14:textFill>
            <w14:solidFill>
              <w14:schemeClr w14:val="tx1"/>
            </w14:solidFill>
          </w14:textFill>
        </w:rPr>
        <w:t>3</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不宜采用破坏性切割方式拆除主要承载构件；</w:t>
      </w:r>
    </w:p>
    <w:p w14:paraId="1327CEE9">
      <w:pPr>
        <w:keepNext w:val="0"/>
        <w:keepLines w:val="0"/>
        <w:pageBreakBefore w:val="0"/>
        <w:widowControl w:val="0"/>
        <w:kinsoku/>
        <w:wordWrap/>
        <w:overflowPunct/>
        <w:topLinePunct w:val="0"/>
        <w:autoSpaceDE/>
        <w:autoSpaceDN/>
        <w:bidi w:val="0"/>
        <w:adjustRightInd/>
        <w:snapToGrid/>
        <w:ind w:firstLine="482" w:firstLineChars="200"/>
        <w:textAlignment w:val="auto"/>
        <w:rPr>
          <w:color w:val="000000" w:themeColor="text1"/>
          <w14:textFill>
            <w14:solidFill>
              <w14:schemeClr w14:val="tx1"/>
            </w14:solidFill>
          </w14:textFill>
        </w:rPr>
      </w:pPr>
      <w:r>
        <w:rPr>
          <w:rFonts w:hint="eastAsia"/>
          <w:b/>
          <w:bCs/>
          <w:color w:val="000000" w:themeColor="text1"/>
          <w14:textFill>
            <w14:solidFill>
              <w14:schemeClr w14:val="tx1"/>
            </w14:solidFill>
          </w14:textFill>
        </w:rPr>
        <w:t>4</w:t>
      </w:r>
      <w:r>
        <w:rPr>
          <w:rFonts w:hint="eastAsia"/>
          <w:b/>
          <w:bCs/>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对确需切割拆除的构件，应提前采取防变形和安全防护措施。</w:t>
      </w:r>
    </w:p>
    <w:p w14:paraId="5005205B">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11</w:t>
      </w:r>
      <w:r>
        <w:rPr>
          <w:rFonts w:hint="eastAsia"/>
          <w:color w:val="000000" w:themeColor="text1"/>
          <w14:textFill>
            <w14:solidFill>
              <w14:schemeClr w14:val="tx1"/>
            </w14:solidFill>
          </w14:textFill>
        </w:rPr>
        <w:t xml:space="preserve">  集成平台模块吊装前，应根据构件重量、尺寸、构件高度、吊装半径及现场环境条件，合理选择起重设备。</w:t>
      </w:r>
    </w:p>
    <w:p w14:paraId="116633BC">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12</w:t>
      </w:r>
      <w:r>
        <w:rPr>
          <w:rFonts w:hint="eastAsia"/>
          <w:color w:val="000000" w:themeColor="text1"/>
          <w14:textFill>
            <w14:solidFill>
              <w14:schemeClr w14:val="tx1"/>
            </w14:solidFill>
          </w14:textFill>
        </w:rPr>
        <w:t xml:space="preserve">  桁架等大型模块拆除吊装时，吊点布置</w:t>
      </w:r>
      <w:r>
        <w:rPr>
          <w:rFonts w:hint="eastAsia"/>
          <w:color w:val="000000" w:themeColor="text1"/>
          <w:kern w:val="0"/>
          <w:lang w:bidi="ar"/>
          <w14:textFill>
            <w14:solidFill>
              <w14:schemeClr w14:val="tx1"/>
            </w14:solidFill>
          </w14:textFill>
        </w:rPr>
        <w:t>应</w:t>
      </w:r>
      <w:r>
        <w:rPr>
          <w:rFonts w:hint="eastAsia"/>
          <w:color w:val="000000" w:themeColor="text1"/>
          <w14:textFill>
            <w14:solidFill>
              <w14:schemeClr w14:val="tx1"/>
            </w14:solidFill>
          </w14:textFill>
        </w:rPr>
        <w:t>满足整体平衡及防散架的安全吊装要求；采用两台及以上起重设备抬吊等非常规方式吊装时，应编制及论证专项起重方案。</w:t>
      </w:r>
    </w:p>
    <w:p w14:paraId="53725370">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13</w:t>
      </w:r>
      <w:r>
        <w:rPr>
          <w:rFonts w:hint="eastAsia"/>
          <w:color w:val="000000" w:themeColor="text1"/>
          <w14:textFill>
            <w14:solidFill>
              <w14:schemeClr w14:val="tx1"/>
            </w14:solidFill>
          </w14:textFill>
        </w:rPr>
        <w:t xml:space="preserve">  吊装使用的吊索具安全系数</w:t>
      </w:r>
      <w:r>
        <w:rPr>
          <w:rFonts w:hint="eastAsia"/>
          <w:color w:val="000000" w:themeColor="text1"/>
          <w:kern w:val="0"/>
          <w:lang w:bidi="ar"/>
          <w14:textFill>
            <w14:solidFill>
              <w14:schemeClr w14:val="tx1"/>
            </w14:solidFill>
          </w14:textFill>
        </w:rPr>
        <w:t>应</w:t>
      </w:r>
      <w:r>
        <w:rPr>
          <w:rFonts w:hint="eastAsia"/>
          <w:color w:val="000000" w:themeColor="text1"/>
          <w14:textFill>
            <w14:solidFill>
              <w14:schemeClr w14:val="tx1"/>
            </w14:solidFill>
          </w14:textFill>
        </w:rPr>
        <w:t>满足《建筑施工起重吊装工程安全技术规范》JGJ 276中的相关强制性规定。</w:t>
      </w:r>
    </w:p>
    <w:p w14:paraId="5577D8F9">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14</w:t>
      </w:r>
      <w:r>
        <w:rPr>
          <w:rFonts w:hint="eastAsia"/>
          <w:color w:val="000000" w:themeColor="text1"/>
          <w14:textFill>
            <w14:solidFill>
              <w14:schemeClr w14:val="tx1"/>
            </w14:solidFill>
          </w14:textFill>
        </w:rPr>
        <w:t xml:space="preserve">  采用智能控制系统的集成平台，拆除过程中宜利用监测设备对结构状态和设备运行状态进行实时监控。</w:t>
      </w:r>
    </w:p>
    <w:p w14:paraId="6F14F8B0">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15</w:t>
      </w:r>
      <w:r>
        <w:rPr>
          <w:rFonts w:hint="eastAsia"/>
          <w:color w:val="000000" w:themeColor="text1"/>
          <w14:textFill>
            <w14:solidFill>
              <w14:schemeClr w14:val="tx1"/>
            </w14:solidFill>
          </w14:textFill>
        </w:rPr>
        <w:t xml:space="preserve">  当智能监测数据达到报警条件时，应及时采取停工、加固或调整拆除方案等措施。当出现下列情况之一时，应立即停止拆除作业：</w:t>
      </w:r>
    </w:p>
    <w:p w14:paraId="7B32D23A">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 xml:space="preserve">1  </w:t>
      </w:r>
      <w:r>
        <w:rPr>
          <w:rFonts w:hint="eastAsia"/>
          <w:color w:val="000000" w:themeColor="text1"/>
          <w14:textFill>
            <w14:solidFill>
              <w14:schemeClr w14:val="tx1"/>
            </w14:solidFill>
          </w14:textFill>
        </w:rPr>
        <w:t>作业环境风速</w:t>
      </w:r>
      <w:r>
        <w:rPr>
          <w:rFonts w:hint="eastAsia"/>
          <w:color w:val="000000" w:themeColor="text1"/>
          <w:lang w:val="en-US" w:eastAsia="zh-CN"/>
          <w14:textFill>
            <w14:solidFill>
              <w14:schemeClr w14:val="tx1"/>
            </w14:solidFill>
          </w14:textFill>
        </w:rPr>
        <w:t>达到12</w:t>
      </w:r>
      <w:r>
        <w:rPr>
          <w:rFonts w:hint="eastAsia"/>
          <w:color w:val="000000" w:themeColor="text1"/>
          <w14:textFill>
            <w14:solidFill>
              <w14:schemeClr w14:val="tx1"/>
            </w14:solidFill>
          </w14:textFill>
        </w:rPr>
        <w:t>m/s</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6级）</w:t>
      </w:r>
      <w:r>
        <w:rPr>
          <w:rFonts w:hint="eastAsia"/>
          <w:color w:val="000000" w:themeColor="text1"/>
          <w14:textFill>
            <w14:solidFill>
              <w14:schemeClr w14:val="tx1"/>
            </w14:solidFill>
          </w14:textFill>
        </w:rPr>
        <w:t>，或遇雷雨、大雾等恶劣天气；</w:t>
      </w:r>
    </w:p>
    <w:p w14:paraId="69530630">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 xml:space="preserve">2  </w:t>
      </w:r>
      <w:r>
        <w:rPr>
          <w:rFonts w:hint="eastAsia"/>
          <w:color w:val="000000" w:themeColor="text1"/>
          <w14:textFill>
            <w14:solidFill>
              <w14:schemeClr w14:val="tx1"/>
            </w14:solidFill>
          </w14:textFill>
        </w:rPr>
        <w:t>集成平台结构出现明显变形、倾斜或异常位移；</w:t>
      </w:r>
    </w:p>
    <w:p w14:paraId="51010BF2">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 xml:space="preserve">3  </w:t>
      </w:r>
      <w:r>
        <w:rPr>
          <w:rFonts w:hint="eastAsia"/>
          <w:color w:val="000000" w:themeColor="text1"/>
          <w14:textFill>
            <w14:solidFill>
              <w14:schemeClr w14:val="tx1"/>
            </w14:solidFill>
          </w14:textFill>
        </w:rPr>
        <w:t>起重设备、安全防护设施出现异常；</w:t>
      </w:r>
    </w:p>
    <w:p w14:paraId="3B34A359">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 xml:space="preserve">4  </w:t>
      </w:r>
      <w:r>
        <w:rPr>
          <w:rFonts w:hint="eastAsia"/>
          <w:color w:val="000000" w:themeColor="text1"/>
          <w14:textFill>
            <w14:solidFill>
              <w14:schemeClr w14:val="tx1"/>
            </w14:solidFill>
          </w14:textFill>
        </w:rPr>
        <w:t>智能监测数据超过预警值；</w:t>
      </w:r>
    </w:p>
    <w:p w14:paraId="2EC9B207">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 xml:space="preserve">5  </w:t>
      </w:r>
      <w:r>
        <w:rPr>
          <w:rFonts w:hint="eastAsia"/>
          <w:color w:val="000000" w:themeColor="text1"/>
          <w14:textFill>
            <w14:solidFill>
              <w14:schemeClr w14:val="tx1"/>
            </w14:solidFill>
          </w14:textFill>
        </w:rPr>
        <w:t>其他严重影响拆除安全的情况。</w:t>
      </w:r>
    </w:p>
    <w:p w14:paraId="059BA9D0">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16</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恶劣天气停止作业前或作业后，应采取必要的临时固定措施；复工前，应对平台结构、连接节点及设备状态重新进行检查确认。</w:t>
      </w:r>
    </w:p>
    <w:p w14:paraId="2CCC2771">
      <w:pPr>
        <w:rPr>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17</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集成平台模块吊运至地面后，应根据构件状态及后续利用需求进行解体、检查和分类。</w:t>
      </w:r>
    </w:p>
    <w:p w14:paraId="069C0CD2">
      <w:pPr>
        <w:rPr>
          <w:rFonts w:hint="eastAsia"/>
          <w:color w:val="000000" w:themeColor="text1"/>
          <w14:textFill>
            <w14:solidFill>
              <w14:schemeClr w14:val="tx1"/>
            </w14:solidFill>
          </w14:textFill>
        </w:rPr>
      </w:pPr>
      <w:r>
        <w:rPr>
          <w:rFonts w:hint="eastAsia"/>
          <w:b/>
          <w:bCs/>
          <w:color w:val="000000" w:themeColor="text1"/>
          <w:kern w:val="0"/>
          <w:lang w:bidi="ar"/>
          <w14:textFill>
            <w14:solidFill>
              <w14:schemeClr w14:val="tx1"/>
            </w14:solidFill>
          </w14:textFill>
        </w:rPr>
        <w:t>1</w:t>
      </w:r>
      <w:r>
        <w:rPr>
          <w:rFonts w:hint="eastAsia"/>
          <w:b/>
          <w:bCs/>
          <w:color w:val="000000" w:themeColor="text1"/>
          <w:kern w:val="0"/>
          <w:lang w:val="en-US" w:eastAsia="zh-CN" w:bidi="ar"/>
          <w14:textFill>
            <w14:solidFill>
              <w14:schemeClr w14:val="tx1"/>
            </w14:solidFill>
          </w14:textFill>
        </w:rPr>
        <w:t>1</w:t>
      </w:r>
      <w:r>
        <w:rPr>
          <w:b/>
          <w:bCs/>
          <w:color w:val="000000" w:themeColor="text1"/>
          <w:kern w:val="0"/>
          <w:lang w:bidi="ar"/>
          <w14:textFill>
            <w14:solidFill>
              <w14:schemeClr w14:val="tx1"/>
            </w14:solidFill>
          </w14:textFill>
        </w:rPr>
        <w:t>.</w:t>
      </w:r>
      <w:r>
        <w:rPr>
          <w:rFonts w:hint="eastAsia"/>
          <w:b/>
          <w:bCs/>
          <w:color w:val="000000" w:themeColor="text1"/>
          <w:kern w:val="0"/>
          <w:lang w:val="en-US" w:eastAsia="zh-CN" w:bidi="ar"/>
          <w14:textFill>
            <w14:solidFill>
              <w14:schemeClr w14:val="tx1"/>
            </w14:solidFill>
          </w14:textFill>
        </w:rPr>
        <w:t>5</w:t>
      </w:r>
      <w:r>
        <w:rPr>
          <w:b/>
          <w:bCs/>
          <w:color w:val="000000" w:themeColor="text1"/>
          <w:kern w:val="0"/>
          <w:lang w:bidi="ar"/>
          <w14:textFill>
            <w14:solidFill>
              <w14:schemeClr w14:val="tx1"/>
            </w14:solidFill>
          </w14:textFill>
        </w:rPr>
        <w:t>.</w:t>
      </w:r>
      <w:r>
        <w:rPr>
          <w:rFonts w:hint="eastAsia"/>
          <w:b/>
          <w:bCs/>
          <w:color w:val="000000" w:themeColor="text1"/>
          <w14:textFill>
            <w14:solidFill>
              <w14:schemeClr w14:val="tx1"/>
            </w14:solidFill>
          </w14:textFill>
        </w:rPr>
        <w:t>18</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构件落地解体时，应设置专用解体区域，并应采取防倾覆、防侧滑碰撞等安全措施。</w:t>
      </w:r>
    </w:p>
    <w:p w14:paraId="7D291231">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45E966C">
      <w:pPr>
        <w:pStyle w:val="2"/>
        <w:bidi w:val="0"/>
        <w:rPr>
          <w:rFonts w:hint="default"/>
        </w:rPr>
      </w:pPr>
      <w:bookmarkStart w:id="192" w:name="_Toc28306"/>
      <w:bookmarkStart w:id="193" w:name="_Toc8915"/>
      <w:r>
        <w:rPr>
          <w:rFonts w:hint="eastAsia"/>
          <w:lang w:val="en-US" w:eastAsia="zh-CN"/>
        </w:rPr>
        <w:t>第12章</w:t>
      </w:r>
      <w:r>
        <w:rPr>
          <w:rFonts w:hint="default"/>
        </w:rPr>
        <w:t xml:space="preserve">  </w:t>
      </w:r>
      <w:r>
        <w:rPr>
          <w:rFonts w:hint="eastAsia"/>
          <w:lang w:val="en-US" w:eastAsia="zh-CN"/>
        </w:rPr>
        <w:t>检验、检测与监测</w:t>
      </w:r>
      <w:bookmarkEnd w:id="192"/>
      <w:bookmarkEnd w:id="193"/>
    </w:p>
    <w:p w14:paraId="070CA5A5">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val="0"/>
          <w:bCs w:val="0"/>
          <w:kern w:val="0"/>
          <w:sz w:val="24"/>
          <w:szCs w:val="24"/>
          <w:highlight w:val="none"/>
          <w:lang w:val="en-US" w:eastAsia="zh-CN" w:bidi="ar"/>
        </w:rPr>
      </w:pPr>
      <w:r>
        <w:rPr>
          <w:rFonts w:hint="eastAsia" w:cs="Times New Roman"/>
          <w:b/>
          <w:bCs/>
          <w:kern w:val="0"/>
          <w:sz w:val="24"/>
          <w:szCs w:val="24"/>
          <w:highlight w:val="none"/>
          <w:lang w:val="en-US" w:eastAsia="zh-CN" w:bidi="ar"/>
        </w:rPr>
        <w:t>12</w:t>
      </w:r>
      <w:r>
        <w:rPr>
          <w:rFonts w:hint="default" w:ascii="Times New Roman" w:hAnsi="Times New Roman" w:eastAsia="宋体" w:cs="Times New Roman"/>
          <w:b/>
          <w:bCs/>
          <w:kern w:val="0"/>
          <w:sz w:val="24"/>
          <w:szCs w:val="24"/>
          <w:highlight w:val="none"/>
          <w:lang w:val="en-US" w:eastAsia="zh-CN" w:bidi="ar"/>
        </w:rPr>
        <w:t>.</w:t>
      </w:r>
      <w:r>
        <w:rPr>
          <w:rFonts w:hint="eastAsia" w:cs="Times New Roman"/>
          <w:b/>
          <w:bCs/>
          <w:kern w:val="0"/>
          <w:sz w:val="24"/>
          <w:szCs w:val="24"/>
          <w:highlight w:val="none"/>
          <w:lang w:val="en-US" w:eastAsia="zh-CN" w:bidi="ar"/>
        </w:rPr>
        <w:t>0</w:t>
      </w:r>
      <w:r>
        <w:rPr>
          <w:rFonts w:hint="default" w:ascii="Times New Roman" w:hAnsi="Times New Roman" w:eastAsia="宋体" w:cs="Times New Roman"/>
          <w:b/>
          <w:bCs/>
          <w:kern w:val="0"/>
          <w:sz w:val="24"/>
          <w:szCs w:val="24"/>
          <w:highlight w:val="none"/>
          <w:lang w:val="en-US" w:eastAsia="zh-CN" w:bidi="ar"/>
        </w:rPr>
        <w:t xml:space="preserve">.1  </w:t>
      </w:r>
      <w:r>
        <w:rPr>
          <w:rFonts w:hint="default" w:ascii="Times New Roman" w:hAnsi="Times New Roman" w:eastAsia="宋体" w:cs="Times New Roman"/>
          <w:b w:val="0"/>
          <w:bCs w:val="0"/>
          <w:kern w:val="0"/>
          <w:sz w:val="24"/>
          <w:szCs w:val="24"/>
          <w:highlight w:val="none"/>
          <w:lang w:val="en-US" w:eastAsia="zh-CN" w:bidi="ar"/>
        </w:rPr>
        <w:t>一般规定</w:t>
      </w:r>
    </w:p>
    <w:p w14:paraId="68D66AE4">
      <w:pPr>
        <w:ind w:firstLine="482" w:firstLineChars="200"/>
        <w:rPr>
          <w:rFonts w:hint="eastAsia"/>
          <w:color w:val="auto"/>
        </w:rPr>
      </w:pPr>
      <w:r>
        <w:rPr>
          <w:rFonts w:hint="eastAsia"/>
          <w:b/>
          <w:bCs/>
          <w:color w:val="auto"/>
          <w:lang w:val="en-US" w:eastAsia="zh-CN"/>
        </w:rPr>
        <w:t>1</w:t>
      </w:r>
      <w:r>
        <w:rPr>
          <w:rFonts w:hint="eastAsia"/>
          <w:b w:val="0"/>
          <w:bCs w:val="0"/>
          <w:color w:val="auto"/>
          <w:lang w:val="en-US" w:eastAsia="zh-CN"/>
        </w:rPr>
        <w:t xml:space="preserve">  </w:t>
      </w:r>
      <w:r>
        <w:rPr>
          <w:rFonts w:hint="eastAsia"/>
          <w:b w:val="0"/>
          <w:bCs w:val="0"/>
          <w:color w:val="auto"/>
        </w:rPr>
        <w:t>检验</w:t>
      </w:r>
      <w:r>
        <w:rPr>
          <w:rFonts w:hint="eastAsia"/>
          <w:b w:val="0"/>
          <w:bCs w:val="0"/>
          <w:color w:val="auto"/>
          <w:lang w:eastAsia="zh-CN"/>
        </w:rPr>
        <w:t>、</w:t>
      </w:r>
      <w:r>
        <w:rPr>
          <w:rFonts w:hint="eastAsia"/>
          <w:b w:val="0"/>
          <w:bCs w:val="0"/>
          <w:color w:val="auto"/>
        </w:rPr>
        <w:t>检测</w:t>
      </w:r>
      <w:r>
        <w:rPr>
          <w:rFonts w:hint="eastAsia"/>
          <w:b w:val="0"/>
          <w:bCs w:val="0"/>
          <w:color w:val="auto"/>
          <w:lang w:val="en-US" w:eastAsia="zh-CN"/>
        </w:rPr>
        <w:t>与</w:t>
      </w:r>
      <w:r>
        <w:rPr>
          <w:rFonts w:hint="eastAsia"/>
          <w:b w:val="0"/>
          <w:bCs w:val="0"/>
          <w:color w:val="auto"/>
        </w:rPr>
        <w:t>监测的定义</w:t>
      </w:r>
    </w:p>
    <w:p w14:paraId="6AC6939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检验：指特种设备法定强制性核验，由具备法定</w:t>
      </w:r>
      <w:r>
        <w:rPr>
          <w:rFonts w:hint="eastAsia" w:cs="Times New Roman"/>
          <w:color w:val="auto"/>
          <w:kern w:val="0"/>
          <w:sz w:val="24"/>
          <w:highlight w:val="none"/>
          <w:lang w:val="en-US" w:eastAsia="zh-CN" w:bidi="ar"/>
        </w:rPr>
        <w:t>资质的第三方</w:t>
      </w:r>
      <w:r>
        <w:rPr>
          <w:rFonts w:hint="eastAsia" w:ascii="Times New Roman" w:hAnsi="Times New Roman" w:eastAsia="宋体" w:cs="Times New Roman"/>
          <w:color w:val="auto"/>
          <w:kern w:val="0"/>
          <w:sz w:val="24"/>
          <w:highlight w:val="none"/>
          <w:lang w:val="en-US" w:eastAsia="zh-CN" w:bidi="ar"/>
        </w:rPr>
        <w:t>机构实施，判定集成平台特种装备安全性能是否满足法定准入要求。</w:t>
      </w:r>
    </w:p>
    <w:p w14:paraId="28375CA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检测：对集成平台结构、机械、电气、控制系统开展理化、性能、功能试验，覆盖设备全生命周期各阶段质量核验。</w:t>
      </w:r>
    </w:p>
    <w:p w14:paraId="4372F30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监测：指集成平台结构健康在线实时监测，持续采集结构受力、变形、振动、温度等参数，实现安全状态动态管控与超限预警。</w:t>
      </w:r>
    </w:p>
    <w:p w14:paraId="6AEEC32E">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eastAsia"/>
          <w:b w:val="0"/>
          <w:bCs w:val="0"/>
          <w:color w:val="auto"/>
        </w:rPr>
      </w:pPr>
      <w:r>
        <w:rPr>
          <w:rFonts w:hint="eastAsia"/>
          <w:b/>
          <w:bCs/>
          <w:color w:val="auto"/>
          <w:lang w:val="en-US" w:eastAsia="zh-CN"/>
        </w:rPr>
        <w:t>2</w:t>
      </w:r>
      <w:r>
        <w:rPr>
          <w:rFonts w:hint="eastAsia"/>
          <w:b w:val="0"/>
          <w:bCs w:val="0"/>
          <w:color w:val="auto"/>
          <w:lang w:val="en-US" w:eastAsia="zh-CN"/>
        </w:rPr>
        <w:t xml:space="preserve">  </w:t>
      </w:r>
      <w:r>
        <w:rPr>
          <w:rFonts w:hint="eastAsia"/>
          <w:b w:val="0"/>
          <w:bCs w:val="0"/>
          <w:color w:val="auto"/>
        </w:rPr>
        <w:t>适用范围和依据</w:t>
      </w:r>
    </w:p>
    <w:p w14:paraId="583E06D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b w:val="0"/>
          <w:bCs w:val="0"/>
          <w:color w:val="auto"/>
        </w:rPr>
      </w:pPr>
      <w:r>
        <w:rPr>
          <w:rFonts w:hint="eastAsia"/>
          <w:b w:val="0"/>
          <w:bCs w:val="0"/>
          <w:color w:val="auto"/>
        </w:rPr>
        <w:t>适用于集成平台配套集成</w:t>
      </w:r>
      <w:r>
        <w:rPr>
          <w:rFonts w:hint="eastAsia"/>
          <w:b w:val="0"/>
          <w:bCs w:val="0"/>
          <w:color w:val="auto"/>
          <w:lang w:val="en-US" w:eastAsia="zh-CN"/>
        </w:rPr>
        <w:t>起重机械</w:t>
      </w:r>
      <w:r>
        <w:rPr>
          <w:rFonts w:hint="eastAsia"/>
          <w:b w:val="0"/>
          <w:bCs w:val="0"/>
          <w:color w:val="auto"/>
        </w:rPr>
        <w:t>、液压顶升系统（压力容器、压力管道）、集成起重装置全生命周期的检验、检测、监测工作。</w:t>
      </w:r>
    </w:p>
    <w:p w14:paraId="18EF6AE9">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9"/>
        <w:rPr>
          <w:rFonts w:hint="eastAsia" w:eastAsia="宋体"/>
          <w:b w:val="0"/>
          <w:bCs w:val="0"/>
          <w:color w:val="auto"/>
          <w:lang w:val="en-US" w:eastAsia="zh-CN"/>
        </w:rPr>
      </w:pPr>
      <w:r>
        <w:rPr>
          <w:rFonts w:hint="eastAsia"/>
          <w:b w:val="0"/>
          <w:bCs w:val="0"/>
          <w:color w:val="auto"/>
        </w:rPr>
        <w:t>开展检验、检测、监测工作应</w:t>
      </w:r>
      <w:r>
        <w:rPr>
          <w:rFonts w:hint="eastAsia"/>
          <w:b w:val="0"/>
          <w:bCs w:val="0"/>
          <w:color w:val="auto"/>
          <w:lang w:val="en-US" w:eastAsia="zh-CN"/>
        </w:rPr>
        <w:t>依据</w:t>
      </w:r>
      <w:r>
        <w:rPr>
          <w:rFonts w:hint="eastAsia"/>
          <w:b w:val="0"/>
          <w:bCs w:val="0"/>
          <w:color w:val="auto"/>
        </w:rPr>
        <w:t>《中华人民共和国特种设备安全法》、现行特种设备安全技术规范、建筑施工集成平台相关国家标准、行业标准、广州市建设工程监管相关管理规定、设备设计文件及产品技术说明书</w:t>
      </w:r>
      <w:r>
        <w:rPr>
          <w:rFonts w:hint="eastAsia"/>
          <w:b w:val="0"/>
          <w:bCs w:val="0"/>
          <w:color w:val="auto"/>
          <w:lang w:val="en-US" w:eastAsia="zh-CN"/>
        </w:rPr>
        <w:t>执行。</w:t>
      </w:r>
    </w:p>
    <w:p w14:paraId="30F6223A">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eastAsia"/>
          <w:b w:val="0"/>
          <w:bCs w:val="0"/>
          <w:color w:val="auto"/>
        </w:rPr>
      </w:pPr>
      <w:r>
        <w:rPr>
          <w:rFonts w:hint="eastAsia"/>
          <w:b/>
          <w:bCs/>
          <w:color w:val="auto"/>
          <w:lang w:val="en-US" w:eastAsia="zh-CN"/>
        </w:rPr>
        <w:t>3</w:t>
      </w:r>
      <w:r>
        <w:rPr>
          <w:rFonts w:hint="eastAsia"/>
          <w:b w:val="0"/>
          <w:bCs w:val="0"/>
          <w:color w:val="auto"/>
          <w:lang w:val="en-US" w:eastAsia="zh-CN"/>
        </w:rPr>
        <w:t xml:space="preserve">  检验、检测与监测</w:t>
      </w:r>
      <w:r>
        <w:rPr>
          <w:rFonts w:hint="eastAsia"/>
          <w:b w:val="0"/>
          <w:bCs w:val="0"/>
          <w:color w:val="auto"/>
        </w:rPr>
        <w:t>机构资质</w:t>
      </w:r>
    </w:p>
    <w:p w14:paraId="0454B1AE">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eastAsia"/>
          <w:b w:val="0"/>
          <w:bCs w:val="0"/>
          <w:color w:val="auto"/>
        </w:rPr>
      </w:pPr>
      <w:r>
        <w:rPr>
          <w:rFonts w:hint="eastAsia"/>
          <w:b/>
          <w:bCs/>
          <w:color w:val="auto"/>
        </w:rPr>
        <w:t>1</w:t>
      </w:r>
      <w:r>
        <w:rPr>
          <w:rFonts w:hint="eastAsia"/>
          <w:b w:val="0"/>
          <w:bCs w:val="0"/>
          <w:color w:val="auto"/>
          <w:lang w:val="en-US" w:eastAsia="zh-CN"/>
        </w:rPr>
        <w:t xml:space="preserve">  </w:t>
      </w:r>
      <w:r>
        <w:rPr>
          <w:rFonts w:hint="eastAsia"/>
          <w:b w:val="0"/>
          <w:bCs w:val="0"/>
          <w:color w:val="auto"/>
        </w:rPr>
        <w:t>法定检验机构必须取得市场监督管理部门核发对应特种设备类别检验核准资质，检验人员持证上岗。</w:t>
      </w:r>
    </w:p>
    <w:p w14:paraId="783EEC1F">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eastAsia"/>
          <w:b w:val="0"/>
          <w:bCs w:val="0"/>
          <w:color w:val="auto"/>
        </w:rPr>
      </w:pPr>
      <w:r>
        <w:rPr>
          <w:rFonts w:hint="eastAsia"/>
          <w:b/>
          <w:bCs/>
          <w:color w:val="auto"/>
        </w:rPr>
        <w:t>2</w:t>
      </w:r>
      <w:r>
        <w:rPr>
          <w:rFonts w:hint="eastAsia"/>
          <w:b w:val="0"/>
          <w:bCs w:val="0"/>
          <w:color w:val="auto"/>
          <w:lang w:val="en-US" w:eastAsia="zh-CN"/>
        </w:rPr>
        <w:t xml:space="preserve">  </w:t>
      </w:r>
      <w:r>
        <w:rPr>
          <w:rFonts w:hint="eastAsia"/>
          <w:b w:val="0"/>
          <w:bCs w:val="0"/>
          <w:color w:val="auto"/>
        </w:rPr>
        <w:t>检测、第三方结构健康监测单位应取得检验检测机构</w:t>
      </w:r>
      <w:r>
        <w:rPr>
          <w:rFonts w:hint="eastAsia"/>
          <w:b w:val="0"/>
          <w:bCs w:val="0"/>
          <w:color w:val="auto"/>
          <w:lang w:val="en-US" w:eastAsia="zh-CN"/>
        </w:rPr>
        <w:t>相应</w:t>
      </w:r>
      <w:r>
        <w:rPr>
          <w:rFonts w:hint="eastAsia"/>
          <w:b w:val="0"/>
          <w:bCs w:val="0"/>
          <w:color w:val="auto"/>
        </w:rPr>
        <w:t>资质，监测、检测人员具备对应专业操作证书</w:t>
      </w:r>
      <w:r>
        <w:rPr>
          <w:rFonts w:hint="eastAsia"/>
          <w:b w:val="0"/>
          <w:bCs w:val="0"/>
          <w:color w:val="auto"/>
          <w:lang w:eastAsia="zh-CN"/>
        </w:rPr>
        <w:t>，</w:t>
      </w:r>
      <w:r>
        <w:rPr>
          <w:rFonts w:hint="eastAsia"/>
          <w:b w:val="0"/>
          <w:bCs w:val="0"/>
          <w:color w:val="auto"/>
          <w:lang w:val="en-US" w:eastAsia="zh-CN"/>
        </w:rPr>
        <w:t>无损检测人员应持有市场监督管理局颁发的无损检测证</w:t>
      </w:r>
      <w:r>
        <w:rPr>
          <w:rFonts w:hint="eastAsia"/>
          <w:b w:val="0"/>
          <w:bCs w:val="0"/>
          <w:color w:val="auto"/>
        </w:rPr>
        <w:t>。</w:t>
      </w:r>
    </w:p>
    <w:p w14:paraId="3F40DD1A">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cs="Times New Roman"/>
          <w:b/>
          <w:bCs/>
          <w:color w:val="auto"/>
          <w:kern w:val="0"/>
          <w:sz w:val="24"/>
          <w:szCs w:val="24"/>
          <w:highlight w:val="none"/>
          <w:lang w:val="en-US" w:eastAsia="zh-CN" w:bidi="ar"/>
        </w:rPr>
        <w:t>12</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0</w:t>
      </w:r>
      <w:r>
        <w:rPr>
          <w:rFonts w:hint="default" w:ascii="Times New Roman" w:hAnsi="Times New Roman" w:eastAsia="宋体" w:cs="Times New Roman"/>
          <w:b/>
          <w:bCs/>
          <w:color w:val="auto"/>
          <w:kern w:val="0"/>
          <w:sz w:val="24"/>
          <w:szCs w:val="24"/>
          <w:highlight w:val="none"/>
          <w:lang w:val="en-US" w:eastAsia="zh-CN" w:bidi="ar"/>
        </w:rPr>
        <w:t xml:space="preserve">.2  </w:t>
      </w:r>
      <w:r>
        <w:rPr>
          <w:rFonts w:hint="default" w:ascii="Times New Roman" w:hAnsi="Times New Roman" w:eastAsia="宋体" w:cs="Times New Roman"/>
          <w:color w:val="auto"/>
          <w:kern w:val="0"/>
          <w:sz w:val="24"/>
          <w:highlight w:val="none"/>
          <w:lang w:val="en-US" w:eastAsia="zh-CN" w:bidi="ar"/>
        </w:rPr>
        <w:t>集成</w:t>
      </w:r>
      <w:r>
        <w:rPr>
          <w:rFonts w:hint="eastAsia" w:cs="Times New Roman"/>
          <w:color w:val="auto"/>
          <w:kern w:val="0"/>
          <w:sz w:val="24"/>
          <w:highlight w:val="none"/>
          <w:lang w:val="en-US" w:eastAsia="zh-CN" w:bidi="ar"/>
        </w:rPr>
        <w:t>平台的特种设备</w:t>
      </w:r>
      <w:r>
        <w:rPr>
          <w:rFonts w:hint="default" w:ascii="Times New Roman" w:hAnsi="Times New Roman" w:eastAsia="宋体" w:cs="Times New Roman"/>
          <w:color w:val="auto"/>
          <w:kern w:val="0"/>
          <w:sz w:val="24"/>
          <w:highlight w:val="none"/>
          <w:lang w:val="en-US" w:eastAsia="zh-CN" w:bidi="ar"/>
        </w:rPr>
        <w:t>检验</w:t>
      </w:r>
      <w:r>
        <w:rPr>
          <w:rFonts w:hint="eastAsia" w:cs="Times New Roman"/>
          <w:color w:val="auto"/>
          <w:kern w:val="0"/>
          <w:sz w:val="24"/>
          <w:highlight w:val="none"/>
          <w:lang w:val="en-US" w:eastAsia="zh-CN" w:bidi="ar"/>
        </w:rPr>
        <w:t>应按下列安全技术规程进行检验：</w:t>
      </w:r>
    </w:p>
    <w:p w14:paraId="76970DD7">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9"/>
        <w:rPr>
          <w:rFonts w:hint="eastAsia" w:cs="Times New Roman"/>
          <w:color w:val="auto"/>
          <w:kern w:val="0"/>
          <w:sz w:val="24"/>
          <w:highlight w:val="none"/>
          <w:lang w:val="en-US" w:eastAsia="zh-CN" w:bidi="ar"/>
        </w:rPr>
      </w:pPr>
      <w:r>
        <w:rPr>
          <w:rFonts w:hint="eastAsia" w:cs="Times New Roman"/>
          <w:b/>
          <w:bCs/>
          <w:color w:val="auto"/>
          <w:kern w:val="0"/>
          <w:sz w:val="24"/>
          <w:highlight w:val="none"/>
          <w:lang w:val="en-US" w:eastAsia="zh-CN" w:bidi="ar"/>
        </w:rPr>
        <w:t>1</w:t>
      </w:r>
      <w:r>
        <w:rPr>
          <w:rFonts w:hint="eastAsia" w:cs="Times New Roman"/>
          <w:color w:val="auto"/>
          <w:kern w:val="0"/>
          <w:sz w:val="24"/>
          <w:highlight w:val="none"/>
          <w:lang w:val="en-US" w:eastAsia="zh-CN" w:bidi="ar"/>
        </w:rPr>
        <w:t xml:space="preserve">  集成平台的起重机械应按《起重机械安全技术规程</w:t>
      </w:r>
      <w:r>
        <w:rPr>
          <w:rFonts w:hint="eastAsia" w:ascii="Times New Roman" w:hAnsi="Times New Roman" w:eastAsia="宋体" w:cs="Times New Roman"/>
          <w:color w:val="auto"/>
          <w:kern w:val="0"/>
          <w:sz w:val="24"/>
          <w:highlight w:val="none"/>
          <w:lang w:val="en-US" w:eastAsia="zh-CN" w:bidi="ar"/>
        </w:rPr>
        <w:t>》</w:t>
      </w:r>
      <w:r>
        <w:rPr>
          <w:rFonts w:hint="eastAsia" w:cs="Times New Roman"/>
          <w:color w:val="auto"/>
          <w:kern w:val="0"/>
          <w:sz w:val="24"/>
          <w:highlight w:val="none"/>
          <w:lang w:val="en-US" w:eastAsia="zh-CN" w:bidi="ar"/>
        </w:rPr>
        <w:t>TSG 51的规定进行检验。</w:t>
      </w:r>
    </w:p>
    <w:p w14:paraId="6A8EC856">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eastAsia" w:cs="Times New Roman"/>
          <w:color w:val="auto"/>
          <w:kern w:val="0"/>
          <w:sz w:val="24"/>
          <w:highlight w:val="none"/>
          <w:lang w:val="en-US" w:eastAsia="zh-CN" w:bidi="ar"/>
        </w:rPr>
      </w:pPr>
      <w:r>
        <w:rPr>
          <w:rFonts w:hint="eastAsia" w:cs="Times New Roman"/>
          <w:b/>
          <w:bCs/>
          <w:color w:val="auto"/>
          <w:kern w:val="0"/>
          <w:sz w:val="24"/>
          <w:highlight w:val="none"/>
          <w:lang w:val="en-US" w:eastAsia="zh-CN" w:bidi="ar"/>
        </w:rPr>
        <w:t>2</w:t>
      </w:r>
      <w:r>
        <w:rPr>
          <w:rFonts w:hint="eastAsia" w:cs="Times New Roman"/>
          <w:color w:val="auto"/>
          <w:kern w:val="0"/>
          <w:sz w:val="24"/>
          <w:highlight w:val="none"/>
          <w:lang w:val="en-US" w:eastAsia="zh-CN" w:bidi="ar"/>
        </w:rPr>
        <w:t xml:space="preserve">  </w:t>
      </w:r>
      <w:r>
        <w:rPr>
          <w:rFonts w:hint="eastAsia" w:ascii="Times New Roman" w:hAnsi="Times New Roman" w:eastAsia="宋体" w:cs="Times New Roman"/>
          <w:color w:val="auto"/>
          <w:kern w:val="0"/>
          <w:sz w:val="24"/>
          <w:highlight w:val="none"/>
          <w:lang w:val="en-US" w:eastAsia="zh-CN" w:bidi="ar"/>
        </w:rPr>
        <w:t>集成平台</w:t>
      </w:r>
      <w:r>
        <w:rPr>
          <w:rFonts w:hint="eastAsia" w:cs="Times New Roman"/>
          <w:color w:val="auto"/>
          <w:kern w:val="0"/>
          <w:sz w:val="24"/>
          <w:highlight w:val="none"/>
          <w:lang w:val="en-US" w:eastAsia="zh-CN" w:bidi="ar"/>
        </w:rPr>
        <w:t>的压力容器应按《固定式压力容器安全技术监察规程》TSG 21的规定进行检验。</w:t>
      </w:r>
    </w:p>
    <w:p w14:paraId="5D91AD59">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cs="Times New Roman"/>
          <w:b/>
          <w:bCs/>
          <w:color w:val="auto"/>
          <w:kern w:val="0"/>
          <w:sz w:val="24"/>
          <w:highlight w:val="none"/>
          <w:lang w:val="en-US" w:eastAsia="zh-CN" w:bidi="ar"/>
        </w:rPr>
        <w:t>3</w:t>
      </w:r>
      <w:r>
        <w:rPr>
          <w:rFonts w:hint="eastAsia" w:cs="Times New Roman"/>
          <w:color w:val="auto"/>
          <w:kern w:val="0"/>
          <w:sz w:val="24"/>
          <w:highlight w:val="none"/>
          <w:lang w:val="en-US" w:eastAsia="zh-CN" w:bidi="ar"/>
        </w:rPr>
        <w:t xml:space="preserve">  集成平台的压力管道应按《工业管道安全技术规程》TSG 31的规定进行检验。</w:t>
      </w:r>
    </w:p>
    <w:p w14:paraId="4CB3FC3B">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eastAsia"/>
          <w:b w:val="0"/>
          <w:bCs w:val="0"/>
          <w:color w:val="auto"/>
        </w:rPr>
      </w:pPr>
      <w:r>
        <w:rPr>
          <w:rFonts w:hint="eastAsia" w:cs="Times New Roman"/>
          <w:b/>
          <w:bCs/>
          <w:color w:val="auto"/>
          <w:kern w:val="0"/>
          <w:sz w:val="24"/>
          <w:szCs w:val="24"/>
          <w:highlight w:val="none"/>
          <w:lang w:val="en-US" w:eastAsia="zh-CN" w:bidi="ar"/>
        </w:rPr>
        <w:t>12</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0</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3</w:t>
      </w:r>
      <w:r>
        <w:rPr>
          <w:rFonts w:hint="default" w:ascii="Times New Roman" w:hAnsi="Times New Roman" w:eastAsia="宋体" w:cs="Times New Roman"/>
          <w:b/>
          <w:bCs/>
          <w:color w:val="auto"/>
          <w:kern w:val="0"/>
          <w:sz w:val="24"/>
          <w:szCs w:val="24"/>
          <w:highlight w:val="none"/>
          <w:lang w:val="en-US" w:eastAsia="zh-CN" w:bidi="ar"/>
        </w:rPr>
        <w:t xml:space="preserve">  </w:t>
      </w:r>
      <w:r>
        <w:rPr>
          <w:rFonts w:hint="eastAsia"/>
          <w:b w:val="0"/>
          <w:bCs w:val="0"/>
          <w:color w:val="auto"/>
          <w:lang w:val="en-US" w:eastAsia="zh-CN"/>
        </w:rPr>
        <w:t>集成平台的检测包括</w:t>
      </w:r>
      <w:r>
        <w:rPr>
          <w:rFonts w:hint="eastAsia"/>
          <w:b w:val="0"/>
          <w:bCs w:val="0"/>
          <w:color w:val="auto"/>
        </w:rPr>
        <w:t>出厂检测</w:t>
      </w:r>
      <w:r>
        <w:rPr>
          <w:rFonts w:hint="eastAsia"/>
          <w:b w:val="0"/>
          <w:bCs w:val="0"/>
          <w:color w:val="auto"/>
          <w:lang w:eastAsia="zh-CN"/>
        </w:rPr>
        <w:t>、</w:t>
      </w:r>
      <w:r>
        <w:rPr>
          <w:rFonts w:hint="eastAsia"/>
          <w:b w:val="0"/>
          <w:bCs w:val="0"/>
          <w:color w:val="auto"/>
        </w:rPr>
        <w:t>安装验收检测</w:t>
      </w:r>
      <w:r>
        <w:rPr>
          <w:rFonts w:hint="eastAsia"/>
          <w:b w:val="0"/>
          <w:bCs w:val="0"/>
          <w:color w:val="auto"/>
          <w:lang w:eastAsia="zh-CN"/>
        </w:rPr>
        <w:t>、</w:t>
      </w:r>
      <w:r>
        <w:rPr>
          <w:rFonts w:hint="eastAsia"/>
          <w:b w:val="0"/>
          <w:bCs w:val="0"/>
          <w:color w:val="auto"/>
        </w:rPr>
        <w:t>定期检测</w:t>
      </w:r>
      <w:r>
        <w:rPr>
          <w:rFonts w:hint="eastAsia"/>
          <w:b w:val="0"/>
          <w:bCs w:val="0"/>
          <w:color w:val="auto"/>
          <w:lang w:val="en-US" w:eastAsia="zh-CN"/>
        </w:rPr>
        <w:t>和</w:t>
      </w:r>
      <w:r>
        <w:rPr>
          <w:rFonts w:hint="eastAsia"/>
          <w:b w:val="0"/>
          <w:bCs w:val="0"/>
          <w:color w:val="auto"/>
        </w:rPr>
        <w:t>特殊检测。</w:t>
      </w:r>
    </w:p>
    <w:p w14:paraId="17C3A3F7">
      <w:pPr>
        <w:ind w:firstLine="482" w:firstLineChars="200"/>
        <w:rPr>
          <w:rFonts w:hint="eastAsia"/>
          <w:b w:val="0"/>
          <w:bCs w:val="0"/>
          <w:color w:val="auto"/>
          <w:highlight w:val="none"/>
          <w:lang w:val="en-US" w:eastAsia="zh-CN"/>
        </w:rPr>
      </w:pPr>
      <w:r>
        <w:rPr>
          <w:rFonts w:hint="eastAsia"/>
          <w:b/>
          <w:bCs/>
          <w:color w:val="auto"/>
          <w:highlight w:val="none"/>
          <w:lang w:val="en-US" w:eastAsia="zh-CN"/>
        </w:rPr>
        <w:t>1</w:t>
      </w:r>
      <w:r>
        <w:rPr>
          <w:rFonts w:hint="eastAsia"/>
          <w:b w:val="0"/>
          <w:bCs w:val="0"/>
          <w:color w:val="auto"/>
          <w:highlight w:val="none"/>
          <w:lang w:val="en-US" w:eastAsia="zh-CN"/>
        </w:rPr>
        <w:t xml:space="preserve">  集成平台出厂检测应由生产厂家检测合格后出具合格证，合格证资料包括相应材料、系统合格证或检测合格报告等。</w:t>
      </w:r>
    </w:p>
    <w:p w14:paraId="0B208A59">
      <w:pPr>
        <w:ind w:firstLine="482" w:firstLineChars="200"/>
        <w:rPr>
          <w:rFonts w:hint="eastAsia"/>
          <w:b w:val="0"/>
          <w:bCs w:val="0"/>
          <w:color w:val="auto"/>
          <w:lang w:val="en-US" w:eastAsia="zh-CN"/>
        </w:rPr>
      </w:pPr>
      <w:r>
        <w:rPr>
          <w:rFonts w:hint="eastAsia"/>
          <w:b/>
          <w:bCs/>
          <w:color w:val="auto"/>
          <w:lang w:val="en-US" w:eastAsia="zh-CN"/>
        </w:rPr>
        <w:t>2</w:t>
      </w:r>
      <w:r>
        <w:rPr>
          <w:rFonts w:hint="eastAsia"/>
          <w:b w:val="0"/>
          <w:bCs w:val="0"/>
          <w:color w:val="auto"/>
          <w:lang w:val="en-US" w:eastAsia="zh-CN"/>
        </w:rPr>
        <w:t xml:space="preserve">  集成平台</w:t>
      </w:r>
      <w:r>
        <w:rPr>
          <w:rFonts w:hint="eastAsia"/>
          <w:b w:val="0"/>
          <w:bCs w:val="0"/>
          <w:color w:val="auto"/>
        </w:rPr>
        <w:t>安装验收检测</w:t>
      </w:r>
      <w:r>
        <w:rPr>
          <w:rFonts w:hint="eastAsia"/>
          <w:b w:val="0"/>
          <w:bCs w:val="0"/>
          <w:color w:val="auto"/>
          <w:lang w:val="en-US" w:eastAsia="zh-CN"/>
        </w:rPr>
        <w:t>应由总承包单位委托具有相应资质检测机构进行检验检测。</w:t>
      </w:r>
    </w:p>
    <w:p w14:paraId="71EF763A">
      <w:pPr>
        <w:ind w:firstLine="482" w:firstLineChars="200"/>
        <w:rPr>
          <w:rFonts w:hint="eastAsia"/>
          <w:b w:val="0"/>
          <w:bCs w:val="0"/>
          <w:color w:val="auto"/>
          <w:lang w:val="en-US" w:eastAsia="zh-CN"/>
        </w:rPr>
      </w:pPr>
      <w:r>
        <w:rPr>
          <w:rFonts w:hint="eastAsia"/>
          <w:b/>
          <w:bCs/>
          <w:color w:val="auto"/>
          <w:lang w:val="en-US" w:eastAsia="zh-CN"/>
        </w:rPr>
        <w:t>3</w:t>
      </w:r>
      <w:r>
        <w:rPr>
          <w:rFonts w:hint="eastAsia"/>
          <w:b w:val="0"/>
          <w:bCs w:val="0"/>
          <w:color w:val="auto"/>
          <w:lang w:val="en-US" w:eastAsia="zh-CN"/>
        </w:rPr>
        <w:t xml:space="preserve">  集成平台定期检测应按国家法律法规、规范和标准要求进行检测。</w:t>
      </w:r>
    </w:p>
    <w:p w14:paraId="5324BFA4">
      <w:pPr>
        <w:ind w:firstLine="482" w:firstLineChars="200"/>
        <w:rPr>
          <w:rFonts w:hint="eastAsia"/>
          <w:b w:val="0"/>
          <w:bCs w:val="0"/>
          <w:color w:val="auto"/>
          <w:lang w:val="en-US" w:eastAsia="zh-CN"/>
        </w:rPr>
      </w:pPr>
      <w:r>
        <w:rPr>
          <w:rFonts w:hint="eastAsia"/>
          <w:b/>
          <w:bCs/>
          <w:color w:val="auto"/>
          <w:lang w:val="en-US" w:eastAsia="zh-CN"/>
        </w:rPr>
        <w:t>4</w:t>
      </w:r>
      <w:r>
        <w:rPr>
          <w:rFonts w:hint="eastAsia"/>
          <w:b w:val="0"/>
          <w:bCs w:val="0"/>
          <w:color w:val="auto"/>
          <w:lang w:val="en-US" w:eastAsia="zh-CN"/>
        </w:rPr>
        <w:t xml:space="preserve">  集成平台钢结构的无损检测机构应由取得无损检测核准资质机构进行检测。</w:t>
      </w:r>
    </w:p>
    <w:p w14:paraId="07260723">
      <w:pPr>
        <w:ind w:firstLine="482" w:firstLineChars="200"/>
        <w:rPr>
          <w:rFonts w:hint="eastAsia"/>
          <w:color w:val="auto"/>
        </w:rPr>
      </w:pPr>
      <w:r>
        <w:rPr>
          <w:rFonts w:hint="eastAsia"/>
          <w:b/>
          <w:bCs/>
          <w:color w:val="auto"/>
          <w:lang w:val="en-US" w:eastAsia="zh-CN"/>
        </w:rPr>
        <w:t>5</w:t>
      </w:r>
      <w:r>
        <w:rPr>
          <w:rFonts w:hint="eastAsia"/>
          <w:b w:val="0"/>
          <w:bCs w:val="0"/>
          <w:color w:val="auto"/>
          <w:lang w:val="en-US" w:eastAsia="zh-CN"/>
        </w:rPr>
        <w:t xml:space="preserve">  集成平台控制系统的</w:t>
      </w:r>
      <w:r>
        <w:rPr>
          <w:rFonts w:hint="eastAsia"/>
          <w:b w:val="0"/>
          <w:bCs w:val="0"/>
          <w:color w:val="auto"/>
        </w:rPr>
        <w:t>控制功能检测</w:t>
      </w:r>
      <w:r>
        <w:rPr>
          <w:rFonts w:hint="eastAsia"/>
          <w:b w:val="0"/>
          <w:bCs w:val="0"/>
          <w:color w:val="auto"/>
          <w:lang w:val="en-US" w:eastAsia="zh-CN"/>
        </w:rPr>
        <w:t>应由总承包单位委托具有相应资质检测机构进行检验检测</w:t>
      </w:r>
      <w:r>
        <w:rPr>
          <w:rFonts w:hint="eastAsia"/>
          <w:color w:val="auto"/>
        </w:rPr>
        <w:t>。</w:t>
      </w:r>
    </w:p>
    <w:p w14:paraId="1472EA03">
      <w:pPr>
        <w:ind w:firstLine="482" w:firstLineChars="200"/>
        <w:rPr>
          <w:rFonts w:hint="default" w:eastAsia="宋体"/>
          <w:color w:val="auto"/>
          <w:lang w:val="en-US" w:eastAsia="zh-CN"/>
        </w:rPr>
      </w:pPr>
      <w:r>
        <w:rPr>
          <w:rFonts w:hint="eastAsia"/>
          <w:b/>
          <w:bCs/>
          <w:color w:val="auto"/>
          <w:lang w:val="en-US" w:eastAsia="zh-CN"/>
        </w:rPr>
        <w:t>6</w:t>
      </w:r>
      <w:r>
        <w:rPr>
          <w:rFonts w:hint="eastAsia"/>
          <w:color w:val="auto"/>
          <w:lang w:val="en-US" w:eastAsia="zh-CN"/>
        </w:rPr>
        <w:t xml:space="preserve">  集成平台特殊检测应是建设行政主管部门认为需要的检测。</w:t>
      </w:r>
    </w:p>
    <w:p w14:paraId="6AA813A0">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color w:val="auto"/>
          <w:kern w:val="0"/>
          <w:sz w:val="24"/>
          <w:highlight w:val="none"/>
          <w:lang w:val="en-US" w:eastAsia="zh-CN" w:bidi="ar"/>
        </w:rPr>
      </w:pPr>
      <w:r>
        <w:rPr>
          <w:rFonts w:hint="eastAsia" w:cs="Times New Roman"/>
          <w:b/>
          <w:bCs/>
          <w:color w:val="auto"/>
          <w:kern w:val="0"/>
          <w:sz w:val="24"/>
          <w:szCs w:val="24"/>
          <w:highlight w:val="none"/>
          <w:lang w:val="en-US" w:eastAsia="zh-CN" w:bidi="ar"/>
        </w:rPr>
        <w:t>12</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0</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4</w:t>
      </w:r>
      <w:r>
        <w:rPr>
          <w:rFonts w:hint="default" w:ascii="Times New Roman" w:hAnsi="Times New Roman" w:eastAsia="宋体" w:cs="Times New Roman"/>
          <w:b/>
          <w:bCs/>
          <w:color w:val="auto"/>
          <w:kern w:val="0"/>
          <w:sz w:val="24"/>
          <w:szCs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集成平台</w:t>
      </w:r>
      <w:r>
        <w:rPr>
          <w:rFonts w:hint="eastAsia" w:cs="Times New Roman"/>
          <w:color w:val="auto"/>
          <w:kern w:val="0"/>
          <w:sz w:val="24"/>
          <w:highlight w:val="none"/>
          <w:lang w:val="en-US" w:eastAsia="zh-CN" w:bidi="ar"/>
        </w:rPr>
        <w:t>结构健康监测应至少包含内容：</w:t>
      </w:r>
      <w:r>
        <w:rPr>
          <w:rFonts w:hint="default" w:ascii="Times New Roman" w:hAnsi="Times New Roman" w:eastAsia="宋体" w:cs="Times New Roman"/>
          <w:color w:val="auto"/>
          <w:kern w:val="0"/>
          <w:sz w:val="24"/>
          <w:highlight w:val="none"/>
          <w:lang w:val="en-US" w:eastAsia="zh-CN" w:bidi="ar"/>
        </w:rPr>
        <w:t>应力应变</w:t>
      </w:r>
      <w:r>
        <w:rPr>
          <w:rFonts w:hint="eastAsia" w:cs="Times New Roman"/>
          <w:color w:val="auto"/>
          <w:kern w:val="0"/>
          <w:sz w:val="24"/>
          <w:highlight w:val="none"/>
          <w:lang w:val="en-US" w:eastAsia="zh-CN" w:bidi="ar"/>
        </w:rPr>
        <w:t>、</w:t>
      </w:r>
      <w:r>
        <w:rPr>
          <w:rFonts w:hint="default" w:ascii="Times New Roman" w:hAnsi="Times New Roman" w:eastAsia="宋体" w:cs="Times New Roman"/>
          <w:color w:val="auto"/>
          <w:kern w:val="0"/>
          <w:sz w:val="24"/>
          <w:highlight w:val="none"/>
          <w:lang w:val="en-US" w:eastAsia="zh-CN" w:bidi="ar"/>
        </w:rPr>
        <w:t>位移</w:t>
      </w:r>
      <w:r>
        <w:rPr>
          <w:rFonts w:hint="eastAsia" w:cs="Times New Roman"/>
          <w:color w:val="auto"/>
          <w:kern w:val="0"/>
          <w:sz w:val="24"/>
          <w:highlight w:val="none"/>
          <w:lang w:val="en-US" w:eastAsia="zh-CN" w:bidi="ar"/>
        </w:rPr>
        <w:t>、</w:t>
      </w:r>
      <w:r>
        <w:rPr>
          <w:rFonts w:hint="default" w:ascii="Times New Roman" w:hAnsi="Times New Roman" w:eastAsia="宋体" w:cs="Times New Roman"/>
          <w:color w:val="auto"/>
          <w:kern w:val="0"/>
          <w:sz w:val="24"/>
          <w:highlight w:val="none"/>
          <w:lang w:val="en-US" w:eastAsia="zh-CN" w:bidi="ar"/>
        </w:rPr>
        <w:t>加速度</w:t>
      </w:r>
      <w:r>
        <w:rPr>
          <w:rFonts w:hint="eastAsia" w:cs="Times New Roman"/>
          <w:color w:val="auto"/>
          <w:kern w:val="0"/>
          <w:sz w:val="24"/>
          <w:highlight w:val="none"/>
          <w:lang w:val="en-US" w:eastAsia="zh-CN" w:bidi="ar"/>
        </w:rPr>
        <w:t>、</w:t>
      </w:r>
      <w:r>
        <w:rPr>
          <w:rFonts w:hint="default" w:ascii="Times New Roman" w:hAnsi="Times New Roman" w:eastAsia="宋体" w:cs="Times New Roman"/>
          <w:color w:val="auto"/>
          <w:kern w:val="0"/>
          <w:sz w:val="24"/>
          <w:highlight w:val="none"/>
          <w:lang w:val="en-US" w:eastAsia="zh-CN" w:bidi="ar"/>
        </w:rPr>
        <w:t>温度监测</w:t>
      </w:r>
      <w:r>
        <w:rPr>
          <w:rFonts w:hint="eastAsia" w:cs="Times New Roman"/>
          <w:color w:val="auto"/>
          <w:kern w:val="0"/>
          <w:sz w:val="24"/>
          <w:highlight w:val="none"/>
          <w:lang w:val="en-US" w:eastAsia="zh-CN" w:bidi="ar"/>
        </w:rPr>
        <w:t>、</w:t>
      </w:r>
      <w:r>
        <w:rPr>
          <w:rFonts w:hint="default" w:ascii="Times New Roman" w:hAnsi="Times New Roman" w:eastAsia="宋体" w:cs="Times New Roman"/>
          <w:color w:val="auto"/>
          <w:kern w:val="0"/>
          <w:sz w:val="24"/>
          <w:highlight w:val="none"/>
          <w:lang w:val="en-US" w:eastAsia="zh-CN" w:bidi="ar"/>
        </w:rPr>
        <w:t>传感器选型与布点</w:t>
      </w:r>
      <w:r>
        <w:rPr>
          <w:rFonts w:hint="eastAsia" w:cs="Times New Roman"/>
          <w:color w:val="auto"/>
          <w:kern w:val="0"/>
          <w:sz w:val="24"/>
          <w:highlight w:val="none"/>
          <w:lang w:val="en-US" w:eastAsia="zh-CN" w:bidi="ar"/>
        </w:rPr>
        <w:t>、</w:t>
      </w:r>
      <w:r>
        <w:rPr>
          <w:rFonts w:hint="default" w:ascii="Times New Roman" w:hAnsi="Times New Roman" w:eastAsia="宋体" w:cs="Times New Roman"/>
          <w:color w:val="auto"/>
          <w:kern w:val="0"/>
          <w:sz w:val="24"/>
          <w:highlight w:val="none"/>
          <w:lang w:val="en-US" w:eastAsia="zh-CN" w:bidi="ar"/>
        </w:rPr>
        <w:t>采集频率</w:t>
      </w:r>
      <w:r>
        <w:rPr>
          <w:rFonts w:hint="eastAsia" w:cs="Times New Roman"/>
          <w:color w:val="auto"/>
          <w:kern w:val="0"/>
          <w:sz w:val="24"/>
          <w:highlight w:val="none"/>
          <w:lang w:val="en-US" w:eastAsia="zh-CN" w:bidi="ar"/>
        </w:rPr>
        <w:t>、</w:t>
      </w:r>
      <w:r>
        <w:rPr>
          <w:rFonts w:hint="default" w:ascii="Times New Roman" w:hAnsi="Times New Roman" w:eastAsia="宋体" w:cs="Times New Roman"/>
          <w:color w:val="auto"/>
          <w:kern w:val="0"/>
          <w:sz w:val="24"/>
          <w:highlight w:val="none"/>
          <w:lang w:val="en-US" w:eastAsia="zh-CN" w:bidi="ar"/>
        </w:rPr>
        <w:t>报警阈值</w:t>
      </w:r>
      <w:r>
        <w:rPr>
          <w:rFonts w:hint="eastAsia" w:cs="Times New Roman"/>
          <w:color w:val="auto"/>
          <w:kern w:val="0"/>
          <w:sz w:val="24"/>
          <w:highlight w:val="none"/>
          <w:lang w:val="en-US" w:eastAsia="zh-CN" w:bidi="ar"/>
        </w:rPr>
        <w:t>和</w:t>
      </w:r>
      <w:r>
        <w:rPr>
          <w:rFonts w:hint="default" w:ascii="Times New Roman" w:hAnsi="Times New Roman" w:eastAsia="宋体" w:cs="Times New Roman"/>
          <w:color w:val="auto"/>
          <w:kern w:val="0"/>
          <w:sz w:val="24"/>
          <w:highlight w:val="none"/>
          <w:lang w:val="en-US" w:eastAsia="zh-CN" w:bidi="ar"/>
        </w:rPr>
        <w:t>数据存储。</w:t>
      </w:r>
    </w:p>
    <w:p w14:paraId="12A7A025">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1</w:t>
      </w:r>
      <w:r>
        <w:rPr>
          <w:rFonts w:hint="eastAsia" w:cs="Times New Roman"/>
          <w:color w:val="auto"/>
          <w:kern w:val="0"/>
          <w:sz w:val="24"/>
          <w:highlight w:val="none"/>
          <w:lang w:val="en-US" w:eastAsia="zh-CN" w:bidi="ar"/>
        </w:rPr>
        <w:t xml:space="preserve">  </w:t>
      </w:r>
      <w:r>
        <w:rPr>
          <w:rFonts w:hint="eastAsia" w:ascii="Times New Roman" w:hAnsi="Times New Roman" w:eastAsia="宋体" w:cs="Times New Roman"/>
          <w:color w:val="auto"/>
          <w:kern w:val="0"/>
          <w:sz w:val="24"/>
          <w:highlight w:val="none"/>
          <w:lang w:val="en-US" w:eastAsia="zh-CN" w:bidi="ar"/>
        </w:rPr>
        <w:t>监测系统的设计应符合现行行业标准《建筑工程施工过程结构分析与监测技术规范》</w:t>
      </w:r>
      <w:r>
        <w:rPr>
          <w:rFonts w:hint="default" w:ascii="Times New Roman" w:hAnsi="Times New Roman" w:eastAsia="宋体" w:cs="Times New Roman"/>
          <w:color w:val="auto"/>
          <w:kern w:val="0"/>
          <w:sz w:val="24"/>
          <w:highlight w:val="none"/>
          <w:lang w:val="en-US" w:eastAsia="zh-CN" w:bidi="ar"/>
        </w:rPr>
        <w:t>JGJ/T 302</w:t>
      </w:r>
      <w:r>
        <w:rPr>
          <w:rFonts w:hint="eastAsia" w:ascii="Times New Roman" w:hAnsi="Times New Roman" w:eastAsia="宋体" w:cs="Times New Roman"/>
          <w:color w:val="auto"/>
          <w:kern w:val="0"/>
          <w:sz w:val="24"/>
          <w:highlight w:val="none"/>
          <w:lang w:val="en-US" w:eastAsia="zh-CN" w:bidi="ar"/>
        </w:rPr>
        <w:t xml:space="preserve">的有关规定； </w:t>
      </w:r>
    </w:p>
    <w:p w14:paraId="716F1AD8">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2</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eastAsia" w:ascii="Times New Roman" w:hAnsi="Times New Roman" w:eastAsia="宋体" w:cs="Times New Roman"/>
          <w:color w:val="auto"/>
          <w:kern w:val="0"/>
          <w:sz w:val="24"/>
          <w:highlight w:val="none"/>
          <w:lang w:val="en-US" w:eastAsia="zh-CN" w:bidi="ar"/>
        </w:rPr>
        <w:t xml:space="preserve">集成平台监测内容应包括部件应力监测、集成平台变形监测、视频监控、风速风向和温度监测； </w:t>
      </w:r>
    </w:p>
    <w:p w14:paraId="4D1932E5">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3</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eastAsia" w:ascii="Times New Roman" w:hAnsi="Times New Roman" w:eastAsia="宋体" w:cs="Times New Roman"/>
          <w:color w:val="auto"/>
          <w:kern w:val="0"/>
          <w:sz w:val="24"/>
          <w:highlight w:val="none"/>
          <w:lang w:val="en-US" w:eastAsia="zh-CN" w:bidi="ar"/>
        </w:rPr>
        <w:t xml:space="preserve">部件应力监测的内容应包括支承架、支承立柱、钢平台主桁架、塔机附着、计算分析受力较大的构件等； </w:t>
      </w:r>
    </w:p>
    <w:p w14:paraId="66AB1A0F">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4</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eastAsia" w:ascii="Times New Roman" w:hAnsi="Times New Roman" w:eastAsia="宋体" w:cs="Times New Roman"/>
          <w:color w:val="auto"/>
          <w:kern w:val="0"/>
          <w:sz w:val="24"/>
          <w:highlight w:val="none"/>
          <w:lang w:val="en-US" w:eastAsia="zh-CN" w:bidi="ar"/>
        </w:rPr>
        <w:t xml:space="preserve">集成平台变形监测内容应包括支承架垂直度、支承立柱垂直度、塔机垂直度、钢平台水平度；钢平台水平度监测点宜布置在支承立柱顶部、钢平台中部和悬挑端； </w:t>
      </w:r>
    </w:p>
    <w:p w14:paraId="2C7B1BCF">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5</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eastAsia" w:ascii="Times New Roman" w:hAnsi="Times New Roman" w:eastAsia="宋体" w:cs="Times New Roman"/>
          <w:color w:val="auto"/>
          <w:kern w:val="0"/>
          <w:sz w:val="24"/>
          <w:highlight w:val="none"/>
          <w:lang w:val="en-US" w:eastAsia="zh-CN" w:bidi="ar"/>
        </w:rPr>
        <w:t xml:space="preserve">视频监控内容应包括顶升油缸运行状态、支承架挂爪使用状态、挂架与墙体的间距、模板与墙体的间距、钢平台顶部堆载状况等； </w:t>
      </w:r>
    </w:p>
    <w:p w14:paraId="0951A173">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6</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eastAsia" w:ascii="Times New Roman" w:hAnsi="Times New Roman" w:eastAsia="宋体" w:cs="Times New Roman"/>
          <w:color w:val="auto"/>
          <w:kern w:val="0"/>
          <w:sz w:val="24"/>
          <w:highlight w:val="none"/>
          <w:lang w:val="en-US" w:eastAsia="zh-CN" w:bidi="ar"/>
        </w:rPr>
        <w:t xml:space="preserve">风速风向和温度监测传感器应布置在钢平台顶部空旷无遮挡位置； </w:t>
      </w:r>
    </w:p>
    <w:p w14:paraId="543E9BA1">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7</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eastAsia" w:ascii="Times New Roman" w:hAnsi="Times New Roman" w:eastAsia="宋体" w:cs="Times New Roman"/>
          <w:color w:val="auto"/>
          <w:kern w:val="0"/>
          <w:sz w:val="24"/>
          <w:highlight w:val="none"/>
          <w:lang w:val="en-US" w:eastAsia="zh-CN" w:bidi="ar"/>
        </w:rPr>
        <w:t xml:space="preserve">水平度传感器应布置在钢平台的中部和悬挑端； </w:t>
      </w:r>
    </w:p>
    <w:p w14:paraId="6519FD55">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8</w:t>
      </w:r>
      <w:r>
        <w:rPr>
          <w:rFonts w:hint="eastAsia" w:cs="Times New Roman"/>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 xml:space="preserve"> </w:t>
      </w:r>
      <w:r>
        <w:rPr>
          <w:rFonts w:hint="eastAsia" w:ascii="Times New Roman" w:hAnsi="Times New Roman" w:eastAsia="宋体" w:cs="Times New Roman"/>
          <w:color w:val="auto"/>
          <w:kern w:val="0"/>
          <w:sz w:val="24"/>
          <w:highlight w:val="none"/>
          <w:lang w:val="en-US" w:eastAsia="zh-CN" w:bidi="ar"/>
        </w:rPr>
        <w:t xml:space="preserve">垂直度传感器宜布置在支承立柱上端； </w:t>
      </w:r>
    </w:p>
    <w:p w14:paraId="37CC1502">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9</w:t>
      </w:r>
      <w:r>
        <w:rPr>
          <w:rFonts w:hint="eastAsia" w:cs="Times New Roman"/>
          <w:color w:val="auto"/>
          <w:kern w:val="0"/>
          <w:sz w:val="24"/>
          <w:highlight w:val="none"/>
          <w:lang w:val="en-US" w:eastAsia="zh-CN" w:bidi="ar"/>
        </w:rPr>
        <w:t xml:space="preserve"> </w:t>
      </w:r>
      <w:r>
        <w:rPr>
          <w:rFonts w:hint="default" w:ascii="Times New Roman" w:hAnsi="Times New Roman" w:eastAsia="宋体" w:cs="Times New Roman"/>
          <w:color w:val="auto"/>
          <w:kern w:val="0"/>
          <w:sz w:val="24"/>
          <w:highlight w:val="none"/>
          <w:lang w:val="en-US" w:eastAsia="zh-CN" w:bidi="ar"/>
        </w:rPr>
        <w:t xml:space="preserve"> </w:t>
      </w:r>
      <w:r>
        <w:rPr>
          <w:rFonts w:hint="eastAsia" w:ascii="Times New Roman" w:hAnsi="Times New Roman" w:eastAsia="宋体" w:cs="Times New Roman"/>
          <w:color w:val="auto"/>
          <w:kern w:val="0"/>
          <w:sz w:val="24"/>
          <w:highlight w:val="none"/>
          <w:lang w:val="en-US" w:eastAsia="zh-CN" w:bidi="ar"/>
        </w:rPr>
        <w:t xml:space="preserve">监测系统应具有预警功能，当监测值超过设计值时，监测系统应自动发出报警信号； </w:t>
      </w:r>
    </w:p>
    <w:p w14:paraId="36EE7E2A">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b/>
          <w:bCs/>
          <w:color w:val="auto"/>
          <w:kern w:val="0"/>
          <w:sz w:val="24"/>
          <w:highlight w:val="none"/>
          <w:lang w:val="en-US" w:eastAsia="zh-CN" w:bidi="ar"/>
        </w:rPr>
        <w:t>10</w:t>
      </w:r>
      <w:r>
        <w:rPr>
          <w:rFonts w:hint="default" w:ascii="Times New Roman" w:hAnsi="Times New Roman" w:eastAsia="宋体" w:cs="Times New Roman"/>
          <w:color w:val="auto"/>
          <w:kern w:val="0"/>
          <w:sz w:val="24"/>
          <w:highlight w:val="none"/>
          <w:lang w:val="en-US" w:eastAsia="zh-CN" w:bidi="ar"/>
        </w:rPr>
        <w:t xml:space="preserve"> </w:t>
      </w:r>
      <w:r>
        <w:rPr>
          <w:rFonts w:hint="eastAsia" w:cs="Times New Roman"/>
          <w:color w:val="auto"/>
          <w:kern w:val="0"/>
          <w:sz w:val="24"/>
          <w:highlight w:val="none"/>
          <w:lang w:val="en-US" w:eastAsia="zh-CN" w:bidi="ar"/>
        </w:rPr>
        <w:t xml:space="preserve"> </w:t>
      </w:r>
      <w:r>
        <w:rPr>
          <w:rFonts w:hint="eastAsia" w:ascii="Times New Roman" w:hAnsi="Times New Roman" w:eastAsia="宋体" w:cs="Times New Roman"/>
          <w:color w:val="auto"/>
          <w:kern w:val="0"/>
          <w:sz w:val="24"/>
          <w:highlight w:val="none"/>
          <w:lang w:val="en-US" w:eastAsia="zh-CN" w:bidi="ar"/>
        </w:rPr>
        <w:t>应对塔机中部、底部附着的抗水平力装置的水平力进行监测。</w:t>
      </w:r>
    </w:p>
    <w:p w14:paraId="366019C2">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val="0"/>
          <w:bCs w:val="0"/>
          <w:color w:val="auto"/>
          <w:kern w:val="0"/>
          <w:sz w:val="24"/>
          <w:szCs w:val="24"/>
          <w:highlight w:val="none"/>
          <w:lang w:val="en-US" w:eastAsia="zh-CN" w:bidi="ar"/>
        </w:rPr>
      </w:pPr>
      <w:r>
        <w:rPr>
          <w:rFonts w:hint="eastAsia" w:cs="Times New Roman"/>
          <w:b/>
          <w:bCs/>
          <w:color w:val="auto"/>
          <w:kern w:val="0"/>
          <w:sz w:val="24"/>
          <w:szCs w:val="24"/>
          <w:highlight w:val="none"/>
          <w:lang w:val="en-US" w:eastAsia="zh-CN" w:bidi="ar"/>
        </w:rPr>
        <w:t>12</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0</w:t>
      </w:r>
      <w:r>
        <w:rPr>
          <w:rFonts w:hint="default" w:ascii="Times New Roman" w:hAnsi="Times New Roman" w:eastAsia="宋体" w:cs="Times New Roman"/>
          <w:b/>
          <w:bCs/>
          <w:color w:val="auto"/>
          <w:kern w:val="0"/>
          <w:sz w:val="24"/>
          <w:szCs w:val="24"/>
          <w:highlight w:val="none"/>
          <w:lang w:val="en-US" w:eastAsia="zh-CN" w:bidi="ar"/>
        </w:rPr>
        <w:t>.</w:t>
      </w:r>
      <w:r>
        <w:rPr>
          <w:rFonts w:hint="eastAsia" w:cs="Times New Roman"/>
          <w:b/>
          <w:bCs/>
          <w:color w:val="auto"/>
          <w:kern w:val="0"/>
          <w:sz w:val="24"/>
          <w:szCs w:val="24"/>
          <w:highlight w:val="none"/>
          <w:lang w:val="en-US" w:eastAsia="zh-CN" w:bidi="ar"/>
        </w:rPr>
        <w:t>5</w:t>
      </w:r>
      <w:r>
        <w:rPr>
          <w:rFonts w:hint="default" w:ascii="Times New Roman" w:hAnsi="Times New Roman" w:eastAsia="宋体" w:cs="Times New Roman"/>
          <w:b/>
          <w:bCs/>
          <w:color w:val="auto"/>
          <w:kern w:val="0"/>
          <w:sz w:val="24"/>
          <w:szCs w:val="24"/>
          <w:highlight w:val="none"/>
          <w:lang w:val="en-US" w:eastAsia="zh-CN" w:bidi="ar"/>
        </w:rPr>
        <w:t xml:space="preserve">  </w:t>
      </w:r>
      <w:r>
        <w:rPr>
          <w:rFonts w:hint="eastAsia" w:ascii="Times New Roman" w:hAnsi="Times New Roman" w:eastAsia="宋体" w:cs="Times New Roman"/>
          <w:b w:val="0"/>
          <w:bCs w:val="0"/>
          <w:color w:val="auto"/>
          <w:kern w:val="0"/>
          <w:sz w:val="24"/>
          <w:szCs w:val="24"/>
          <w:highlight w:val="none"/>
          <w:lang w:val="en-US" w:eastAsia="zh-CN" w:bidi="ar"/>
        </w:rPr>
        <w:t>检验、</w:t>
      </w:r>
      <w:r>
        <w:rPr>
          <w:rFonts w:hint="default" w:ascii="Times New Roman" w:hAnsi="Times New Roman" w:eastAsia="宋体" w:cs="Times New Roman"/>
          <w:b w:val="0"/>
          <w:bCs w:val="0"/>
          <w:color w:val="auto"/>
          <w:kern w:val="0"/>
          <w:sz w:val="24"/>
          <w:szCs w:val="24"/>
          <w:highlight w:val="none"/>
          <w:lang w:val="en-US" w:eastAsia="zh-CN" w:bidi="ar"/>
        </w:rPr>
        <w:t>检测</w:t>
      </w:r>
      <w:r>
        <w:rPr>
          <w:rFonts w:hint="eastAsia" w:cs="Times New Roman"/>
          <w:b w:val="0"/>
          <w:bCs w:val="0"/>
          <w:color w:val="auto"/>
          <w:kern w:val="0"/>
          <w:sz w:val="24"/>
          <w:szCs w:val="24"/>
          <w:highlight w:val="none"/>
          <w:lang w:val="en-US" w:eastAsia="zh-CN" w:bidi="ar"/>
        </w:rPr>
        <w:t>及监测的</w:t>
      </w:r>
      <w:r>
        <w:rPr>
          <w:rFonts w:hint="default" w:ascii="Times New Roman" w:hAnsi="Times New Roman" w:eastAsia="宋体" w:cs="Times New Roman"/>
          <w:b w:val="0"/>
          <w:bCs w:val="0"/>
          <w:color w:val="auto"/>
          <w:kern w:val="0"/>
          <w:sz w:val="24"/>
          <w:szCs w:val="24"/>
          <w:highlight w:val="none"/>
          <w:lang w:val="en-US" w:eastAsia="zh-CN" w:bidi="ar"/>
        </w:rPr>
        <w:t>仪器与设备</w:t>
      </w:r>
    </w:p>
    <w:p w14:paraId="7FDE233F">
      <w:pPr>
        <w:ind w:firstLine="480" w:firstLineChars="200"/>
        <w:rPr>
          <w:color w:val="auto"/>
        </w:rPr>
      </w:pPr>
      <w:r>
        <w:rPr>
          <w:rFonts w:hint="eastAsia"/>
          <w:b w:val="0"/>
          <w:bCs w:val="0"/>
          <w:color w:val="auto"/>
          <w:lang w:val="en-US" w:eastAsia="zh-CN"/>
        </w:rPr>
        <w:t>检验、检测和监测所需要的仪器设备应满足《特种设备检验机构核准规则》TSG Z7001、</w:t>
      </w:r>
      <w:r>
        <w:rPr>
          <w:rFonts w:hint="eastAsia" w:cs="Times New Roman"/>
          <w:color w:val="auto"/>
          <w:kern w:val="0"/>
          <w:sz w:val="24"/>
          <w:highlight w:val="none"/>
          <w:lang w:val="en-US" w:eastAsia="zh-CN" w:bidi="ar"/>
        </w:rPr>
        <w:t>《固定式压力容器安全技术监察规程》TSG 21、《工业管道安全技术规程》TSG 31</w:t>
      </w:r>
      <w:r>
        <w:rPr>
          <w:rFonts w:hint="eastAsia"/>
          <w:b w:val="0"/>
          <w:bCs w:val="0"/>
          <w:color w:val="auto"/>
          <w:lang w:val="en-US" w:eastAsia="zh-CN"/>
        </w:rPr>
        <w:t>、《特种设备检测机构核准规则》TSG Z7002、《建筑工程施工过程结构分析与检测技术规范》JGJT 302等规定的要求</w:t>
      </w:r>
      <w:r>
        <w:rPr>
          <w:rFonts w:hint="eastAsia"/>
          <w:color w:val="auto"/>
        </w:rPr>
        <w:t>。</w:t>
      </w:r>
    </w:p>
    <w:p w14:paraId="018F9499">
      <w:pPr>
        <w:ind w:firstLine="480" w:firstLineChars="200"/>
        <w:rPr>
          <w:color w:val="000000" w:themeColor="text1"/>
          <w14:textFill>
            <w14:solidFill>
              <w14:schemeClr w14:val="tx1"/>
            </w14:solidFill>
          </w14:textFill>
        </w:rPr>
      </w:pPr>
    </w:p>
    <w:p w14:paraId="0402B741">
      <w:pPr>
        <w:rPr>
          <w:rFonts w:hint="eastAsia" w:ascii="Times New Roman" w:hAnsi="Times New Roman"/>
          <w:color w:val="000000" w:themeColor="text1"/>
          <w:lang w:val="en-US" w:eastAsia="zh-CN"/>
          <w14:textFill>
            <w14:solidFill>
              <w14:schemeClr w14:val="tx1"/>
            </w14:solidFill>
          </w14:textFill>
        </w:rPr>
        <w:sectPr>
          <w:footerReference r:id="rId9" w:type="default"/>
          <w:pgSz w:w="11906" w:h="16838"/>
          <w:pgMar w:top="1247" w:right="1106" w:bottom="1089" w:left="1797" w:header="851" w:footer="850" w:gutter="0"/>
          <w:pgNumType w:fmt="decimal" w:start="1"/>
          <w:cols w:space="425" w:num="1"/>
          <w:docGrid w:type="lines" w:linePitch="312" w:charSpace="0"/>
        </w:sectPr>
      </w:pPr>
      <w:r>
        <w:rPr>
          <w:rFonts w:hint="eastAsia" w:ascii="Times New Roman" w:hAnsi="Times New Roman"/>
          <w:color w:val="000000" w:themeColor="text1"/>
          <w:lang w:val="en-US" w:eastAsia="zh-CN"/>
          <w14:textFill>
            <w14:solidFill>
              <w14:schemeClr w14:val="tx1"/>
            </w14:solidFill>
          </w14:textFill>
        </w:rPr>
        <w:br w:type="page"/>
      </w:r>
    </w:p>
    <w:p w14:paraId="3573D5F8">
      <w:pPr>
        <w:spacing w:before="156" w:beforeLines="50" w:after="156" w:afterLines="50" w:line="240" w:lineRule="auto"/>
        <w:jc w:val="center"/>
        <w:rPr>
          <w:rFonts w:hint="default" w:ascii="Times New Roman" w:hAnsi="Times New Roman" w:eastAsia="宋体"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宋体" w:cs="Times New Roman"/>
          <w:b/>
          <w:bCs/>
          <w:color w:val="000000" w:themeColor="text1"/>
          <w:sz w:val="32"/>
          <w:szCs w:val="32"/>
          <w14:textFill>
            <w14:solidFill>
              <w14:schemeClr w14:val="tx1"/>
            </w14:solidFill>
          </w14:textFill>
        </w:rPr>
        <w:t>附录A  集成平台</w:t>
      </w:r>
      <w:r>
        <w:rPr>
          <w:rFonts w:hint="eastAsia" w:ascii="Times New Roman" w:hAnsi="Times New Roman" w:eastAsia="宋体" w:cs="Times New Roman"/>
          <w:b/>
          <w:bCs/>
          <w:color w:val="000000" w:themeColor="text1"/>
          <w:sz w:val="32"/>
          <w:szCs w:val="32"/>
          <w:lang w:val="en-US" w:eastAsia="zh-CN"/>
          <w14:textFill>
            <w14:solidFill>
              <w14:schemeClr w14:val="tx1"/>
            </w14:solidFill>
          </w14:textFill>
        </w:rPr>
        <w:t>检查表</w:t>
      </w:r>
    </w:p>
    <w:p w14:paraId="144FAE0E">
      <w:pPr>
        <w:pStyle w:val="74"/>
        <w:ind w:firstLine="420"/>
      </w:pPr>
      <w:r>
        <w:rPr>
          <w:rFonts w:hint="eastAsia"/>
        </w:rPr>
        <w:t>集成平台主要性能参数测试记录表见表</w:t>
      </w:r>
      <w:bookmarkStart w:id="194" w:name="OLE_LINK3"/>
      <w:r>
        <w:rPr>
          <w:rFonts w:ascii="Times New Roman" w:hAnsi="Times New Roman"/>
        </w:rPr>
        <w:t>A.1</w:t>
      </w:r>
      <w:bookmarkEnd w:id="194"/>
      <w:r>
        <w:rPr>
          <w:rFonts w:hint="eastAsia"/>
        </w:rPr>
        <w:t>。</w:t>
      </w:r>
    </w:p>
    <w:p w14:paraId="04594618">
      <w:pPr>
        <w:pStyle w:val="75"/>
        <w:spacing w:before="156" w:after="156"/>
        <w:jc w:val="center"/>
        <w:rPr>
          <w:sz w:val="20"/>
          <w:szCs w:val="20"/>
        </w:rPr>
      </w:pPr>
      <w:bookmarkStart w:id="195" w:name="_Toc195545783"/>
      <w:bookmarkStart w:id="196" w:name="_Hlk193376267"/>
      <w:r>
        <w:rPr>
          <w:rFonts w:hint="eastAsia"/>
          <w:sz w:val="20"/>
          <w:szCs w:val="20"/>
        </w:rPr>
        <w:t>集成平台主要性能参数测试记录表</w:t>
      </w:r>
      <w:bookmarkEnd w:id="195"/>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87"/>
        <w:gridCol w:w="1288"/>
        <w:gridCol w:w="1387"/>
        <w:gridCol w:w="1204"/>
        <w:gridCol w:w="1297"/>
        <w:gridCol w:w="1772"/>
        <w:gridCol w:w="815"/>
      </w:tblGrid>
      <w:tr w14:paraId="1C4146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332" w:type="dxa"/>
            <w:tcBorders>
              <w:top w:val="single" w:color="auto" w:sz="8" w:space="0"/>
              <w:bottom w:val="single" w:color="auto" w:sz="8" w:space="0"/>
            </w:tcBorders>
            <w:shd w:val="clear" w:color="auto" w:fill="auto"/>
          </w:tcPr>
          <w:p w14:paraId="68EFFF4F">
            <w:pPr>
              <w:pStyle w:val="76"/>
              <w:rPr>
                <w:rFonts w:hint="default" w:ascii="Times New Roman" w:hAnsi="Times New Roman" w:eastAsia="宋体" w:cs="Times New Roman"/>
                <w:kern w:val="0"/>
                <w:sz w:val="21"/>
                <w:szCs w:val="21"/>
              </w:rPr>
            </w:pPr>
            <w:bookmarkStart w:id="197" w:name="OLE_LINK13"/>
            <w:r>
              <w:rPr>
                <w:rFonts w:hint="default" w:ascii="Times New Roman" w:hAnsi="Times New Roman" w:eastAsia="宋体" w:cs="Times New Roman"/>
                <w:kern w:val="0"/>
                <w:sz w:val="21"/>
                <w:szCs w:val="21"/>
              </w:rPr>
              <w:t>序号</w:t>
            </w:r>
          </w:p>
        </w:tc>
        <w:tc>
          <w:tcPr>
            <w:tcW w:w="2769" w:type="dxa"/>
            <w:gridSpan w:val="2"/>
            <w:tcBorders>
              <w:top w:val="single" w:color="auto" w:sz="8" w:space="0"/>
              <w:bottom w:val="single" w:color="auto" w:sz="8" w:space="0"/>
            </w:tcBorders>
            <w:shd w:val="clear" w:color="auto" w:fill="auto"/>
          </w:tcPr>
          <w:p w14:paraId="5A22632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项目</w:t>
            </w:r>
          </w:p>
        </w:tc>
        <w:tc>
          <w:tcPr>
            <w:tcW w:w="1231" w:type="dxa"/>
            <w:tcBorders>
              <w:top w:val="single" w:color="auto" w:sz="8" w:space="0"/>
              <w:bottom w:val="single" w:color="auto" w:sz="8" w:space="0"/>
            </w:tcBorders>
            <w:shd w:val="clear" w:color="auto" w:fill="auto"/>
          </w:tcPr>
          <w:p w14:paraId="7441A2E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单位</w:t>
            </w:r>
          </w:p>
        </w:tc>
        <w:tc>
          <w:tcPr>
            <w:tcW w:w="1334" w:type="dxa"/>
            <w:tcBorders>
              <w:top w:val="single" w:color="auto" w:sz="8" w:space="0"/>
              <w:bottom w:val="single" w:color="auto" w:sz="8" w:space="0"/>
            </w:tcBorders>
            <w:shd w:val="clear" w:color="auto" w:fill="auto"/>
          </w:tcPr>
          <w:p w14:paraId="151387C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设计值</w:t>
            </w:r>
          </w:p>
        </w:tc>
        <w:tc>
          <w:tcPr>
            <w:tcW w:w="1829" w:type="dxa"/>
            <w:tcBorders>
              <w:top w:val="single" w:color="auto" w:sz="8" w:space="0"/>
              <w:bottom w:val="single" w:color="auto" w:sz="8" w:space="0"/>
            </w:tcBorders>
            <w:shd w:val="clear" w:color="auto" w:fill="auto"/>
          </w:tcPr>
          <w:p w14:paraId="294CD3E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测量值</w:t>
            </w:r>
          </w:p>
        </w:tc>
        <w:tc>
          <w:tcPr>
            <w:tcW w:w="839" w:type="dxa"/>
            <w:tcBorders>
              <w:top w:val="single" w:color="auto" w:sz="8" w:space="0"/>
              <w:bottom w:val="single" w:color="auto" w:sz="8" w:space="0"/>
            </w:tcBorders>
            <w:shd w:val="clear" w:color="auto" w:fill="auto"/>
          </w:tcPr>
          <w:p w14:paraId="036A335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备注</w:t>
            </w:r>
          </w:p>
        </w:tc>
      </w:tr>
      <w:tr w14:paraId="762530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tcBorders>
              <w:top w:val="single" w:color="auto" w:sz="8" w:space="0"/>
            </w:tcBorders>
            <w:shd w:val="clear" w:color="auto" w:fill="auto"/>
          </w:tcPr>
          <w:p w14:paraId="0F3DAD2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1333" w:type="dxa"/>
            <w:vMerge w:val="restart"/>
            <w:tcBorders>
              <w:top w:val="single" w:color="auto" w:sz="8" w:space="0"/>
            </w:tcBorders>
            <w:shd w:val="clear" w:color="auto" w:fill="auto"/>
            <w:vAlign w:val="center"/>
          </w:tcPr>
          <w:p w14:paraId="4C278D26">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整机外廓尺寸</w:t>
            </w:r>
          </w:p>
        </w:tc>
        <w:tc>
          <w:tcPr>
            <w:tcW w:w="1436" w:type="dxa"/>
            <w:tcBorders>
              <w:top w:val="single" w:color="auto" w:sz="8" w:space="0"/>
            </w:tcBorders>
            <w:shd w:val="clear" w:color="auto" w:fill="auto"/>
          </w:tcPr>
          <w:p w14:paraId="245ED38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长</w:t>
            </w:r>
          </w:p>
        </w:tc>
        <w:tc>
          <w:tcPr>
            <w:tcW w:w="1231" w:type="dxa"/>
            <w:tcBorders>
              <w:top w:val="single" w:color="auto" w:sz="8" w:space="0"/>
            </w:tcBorders>
            <w:shd w:val="clear" w:color="auto" w:fill="auto"/>
          </w:tcPr>
          <w:p w14:paraId="64E6C5E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w:t>
            </w:r>
          </w:p>
        </w:tc>
        <w:tc>
          <w:tcPr>
            <w:tcW w:w="1334" w:type="dxa"/>
            <w:tcBorders>
              <w:top w:val="single" w:color="auto" w:sz="8" w:space="0"/>
            </w:tcBorders>
            <w:shd w:val="clear" w:color="auto" w:fill="auto"/>
          </w:tcPr>
          <w:p w14:paraId="044213AC">
            <w:pPr>
              <w:pStyle w:val="76"/>
              <w:rPr>
                <w:rFonts w:hint="default" w:ascii="Times New Roman" w:hAnsi="Times New Roman" w:eastAsia="宋体" w:cs="Times New Roman"/>
                <w:kern w:val="0"/>
                <w:sz w:val="21"/>
                <w:szCs w:val="21"/>
              </w:rPr>
            </w:pPr>
          </w:p>
        </w:tc>
        <w:tc>
          <w:tcPr>
            <w:tcW w:w="1829" w:type="dxa"/>
            <w:tcBorders>
              <w:top w:val="single" w:color="auto" w:sz="8" w:space="0"/>
            </w:tcBorders>
            <w:shd w:val="clear" w:color="auto" w:fill="auto"/>
          </w:tcPr>
          <w:p w14:paraId="75F9532C">
            <w:pPr>
              <w:pStyle w:val="76"/>
              <w:rPr>
                <w:rFonts w:hint="default" w:ascii="Times New Roman" w:hAnsi="Times New Roman" w:eastAsia="宋体" w:cs="Times New Roman"/>
                <w:kern w:val="0"/>
                <w:sz w:val="21"/>
                <w:szCs w:val="21"/>
              </w:rPr>
            </w:pPr>
          </w:p>
        </w:tc>
        <w:tc>
          <w:tcPr>
            <w:tcW w:w="839" w:type="dxa"/>
            <w:tcBorders>
              <w:top w:val="single" w:color="auto" w:sz="8" w:space="0"/>
            </w:tcBorders>
            <w:shd w:val="clear" w:color="auto" w:fill="auto"/>
          </w:tcPr>
          <w:p w14:paraId="78F8A6D5">
            <w:pPr>
              <w:pStyle w:val="76"/>
              <w:rPr>
                <w:rFonts w:hint="default" w:ascii="Times New Roman" w:hAnsi="Times New Roman" w:eastAsia="宋体" w:cs="Times New Roman"/>
                <w:kern w:val="0"/>
                <w:sz w:val="21"/>
                <w:szCs w:val="21"/>
              </w:rPr>
            </w:pPr>
          </w:p>
        </w:tc>
      </w:tr>
      <w:tr w14:paraId="15111A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tcPr>
          <w:p w14:paraId="0BBA6AEA">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1333" w:type="dxa"/>
            <w:vMerge w:val="continue"/>
            <w:shd w:val="clear" w:color="auto" w:fill="auto"/>
          </w:tcPr>
          <w:p w14:paraId="09A4595E">
            <w:pPr>
              <w:pStyle w:val="76"/>
              <w:rPr>
                <w:rFonts w:hint="default" w:ascii="Times New Roman" w:hAnsi="Times New Roman" w:eastAsia="宋体" w:cs="Times New Roman"/>
                <w:kern w:val="0"/>
                <w:sz w:val="21"/>
                <w:szCs w:val="21"/>
              </w:rPr>
            </w:pPr>
          </w:p>
        </w:tc>
        <w:tc>
          <w:tcPr>
            <w:tcW w:w="1436" w:type="dxa"/>
            <w:shd w:val="clear" w:color="auto" w:fill="auto"/>
          </w:tcPr>
          <w:p w14:paraId="0105342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宽</w:t>
            </w:r>
          </w:p>
        </w:tc>
        <w:tc>
          <w:tcPr>
            <w:tcW w:w="1231" w:type="dxa"/>
            <w:shd w:val="clear" w:color="auto" w:fill="auto"/>
          </w:tcPr>
          <w:p w14:paraId="3FADACA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w:t>
            </w:r>
          </w:p>
        </w:tc>
        <w:tc>
          <w:tcPr>
            <w:tcW w:w="1334" w:type="dxa"/>
            <w:shd w:val="clear" w:color="auto" w:fill="auto"/>
          </w:tcPr>
          <w:p w14:paraId="04C66F20">
            <w:pPr>
              <w:pStyle w:val="76"/>
              <w:rPr>
                <w:rFonts w:hint="default" w:ascii="Times New Roman" w:hAnsi="Times New Roman" w:eastAsia="宋体" w:cs="Times New Roman"/>
                <w:kern w:val="0"/>
                <w:sz w:val="21"/>
                <w:szCs w:val="21"/>
              </w:rPr>
            </w:pPr>
          </w:p>
        </w:tc>
        <w:tc>
          <w:tcPr>
            <w:tcW w:w="1829" w:type="dxa"/>
            <w:shd w:val="clear" w:color="auto" w:fill="auto"/>
          </w:tcPr>
          <w:p w14:paraId="4BA1CA62">
            <w:pPr>
              <w:pStyle w:val="76"/>
              <w:rPr>
                <w:rFonts w:hint="default" w:ascii="Times New Roman" w:hAnsi="Times New Roman" w:eastAsia="宋体" w:cs="Times New Roman"/>
                <w:kern w:val="0"/>
                <w:sz w:val="21"/>
                <w:szCs w:val="21"/>
              </w:rPr>
            </w:pPr>
          </w:p>
        </w:tc>
        <w:tc>
          <w:tcPr>
            <w:tcW w:w="839" w:type="dxa"/>
            <w:shd w:val="clear" w:color="auto" w:fill="auto"/>
          </w:tcPr>
          <w:p w14:paraId="18DDEE71">
            <w:pPr>
              <w:pStyle w:val="76"/>
              <w:rPr>
                <w:rFonts w:hint="default" w:ascii="Times New Roman" w:hAnsi="Times New Roman" w:eastAsia="宋体" w:cs="Times New Roman"/>
                <w:kern w:val="0"/>
                <w:sz w:val="21"/>
                <w:szCs w:val="21"/>
              </w:rPr>
            </w:pPr>
          </w:p>
        </w:tc>
      </w:tr>
      <w:tr w14:paraId="12D10D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tcPr>
          <w:p w14:paraId="4C34613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w:t>
            </w:r>
          </w:p>
        </w:tc>
        <w:tc>
          <w:tcPr>
            <w:tcW w:w="1333" w:type="dxa"/>
            <w:vMerge w:val="continue"/>
            <w:shd w:val="clear" w:color="auto" w:fill="auto"/>
          </w:tcPr>
          <w:p w14:paraId="1082A4EC">
            <w:pPr>
              <w:pStyle w:val="76"/>
              <w:rPr>
                <w:rFonts w:hint="default" w:ascii="Times New Roman" w:hAnsi="Times New Roman" w:eastAsia="宋体" w:cs="Times New Roman"/>
                <w:kern w:val="0"/>
                <w:sz w:val="21"/>
                <w:szCs w:val="21"/>
              </w:rPr>
            </w:pPr>
          </w:p>
        </w:tc>
        <w:tc>
          <w:tcPr>
            <w:tcW w:w="1436" w:type="dxa"/>
            <w:shd w:val="clear" w:color="auto" w:fill="auto"/>
          </w:tcPr>
          <w:p w14:paraId="7EFDA3B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高</w:t>
            </w:r>
          </w:p>
        </w:tc>
        <w:tc>
          <w:tcPr>
            <w:tcW w:w="1231" w:type="dxa"/>
            <w:shd w:val="clear" w:color="auto" w:fill="auto"/>
          </w:tcPr>
          <w:p w14:paraId="637E5CE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w:t>
            </w:r>
          </w:p>
        </w:tc>
        <w:tc>
          <w:tcPr>
            <w:tcW w:w="1334" w:type="dxa"/>
            <w:shd w:val="clear" w:color="auto" w:fill="auto"/>
          </w:tcPr>
          <w:p w14:paraId="01BDDC9D">
            <w:pPr>
              <w:pStyle w:val="76"/>
              <w:rPr>
                <w:rFonts w:hint="default" w:ascii="Times New Roman" w:hAnsi="Times New Roman" w:eastAsia="宋体" w:cs="Times New Roman"/>
                <w:kern w:val="0"/>
                <w:sz w:val="21"/>
                <w:szCs w:val="21"/>
              </w:rPr>
            </w:pPr>
          </w:p>
        </w:tc>
        <w:tc>
          <w:tcPr>
            <w:tcW w:w="1829" w:type="dxa"/>
            <w:shd w:val="clear" w:color="auto" w:fill="auto"/>
          </w:tcPr>
          <w:p w14:paraId="6BC52157">
            <w:pPr>
              <w:pStyle w:val="76"/>
              <w:rPr>
                <w:rFonts w:hint="default" w:ascii="Times New Roman" w:hAnsi="Times New Roman" w:eastAsia="宋体" w:cs="Times New Roman"/>
                <w:kern w:val="0"/>
                <w:sz w:val="21"/>
                <w:szCs w:val="21"/>
              </w:rPr>
            </w:pPr>
          </w:p>
        </w:tc>
        <w:tc>
          <w:tcPr>
            <w:tcW w:w="839" w:type="dxa"/>
            <w:shd w:val="clear" w:color="auto" w:fill="auto"/>
          </w:tcPr>
          <w:p w14:paraId="049CEA31">
            <w:pPr>
              <w:pStyle w:val="76"/>
              <w:rPr>
                <w:rFonts w:hint="default" w:ascii="Times New Roman" w:hAnsi="Times New Roman" w:eastAsia="宋体" w:cs="Times New Roman"/>
                <w:kern w:val="0"/>
                <w:sz w:val="21"/>
                <w:szCs w:val="21"/>
              </w:rPr>
            </w:pPr>
          </w:p>
        </w:tc>
      </w:tr>
      <w:tr w14:paraId="715004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tcPr>
          <w:p w14:paraId="78F72E76">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w:t>
            </w:r>
          </w:p>
        </w:tc>
        <w:tc>
          <w:tcPr>
            <w:tcW w:w="2769" w:type="dxa"/>
            <w:gridSpan w:val="2"/>
            <w:shd w:val="clear" w:color="auto" w:fill="auto"/>
          </w:tcPr>
          <w:p w14:paraId="3DBE649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整机质量</w:t>
            </w:r>
          </w:p>
        </w:tc>
        <w:tc>
          <w:tcPr>
            <w:tcW w:w="1231" w:type="dxa"/>
            <w:shd w:val="clear" w:color="auto" w:fill="auto"/>
          </w:tcPr>
          <w:p w14:paraId="4C26F61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kg</w:t>
            </w:r>
          </w:p>
        </w:tc>
        <w:tc>
          <w:tcPr>
            <w:tcW w:w="1334" w:type="dxa"/>
            <w:shd w:val="clear" w:color="auto" w:fill="auto"/>
          </w:tcPr>
          <w:p w14:paraId="0DBA9689">
            <w:pPr>
              <w:pStyle w:val="76"/>
              <w:rPr>
                <w:rFonts w:hint="default" w:ascii="Times New Roman" w:hAnsi="Times New Roman" w:eastAsia="宋体" w:cs="Times New Roman"/>
                <w:kern w:val="0"/>
                <w:sz w:val="21"/>
                <w:szCs w:val="21"/>
              </w:rPr>
            </w:pPr>
          </w:p>
        </w:tc>
        <w:tc>
          <w:tcPr>
            <w:tcW w:w="1829" w:type="dxa"/>
            <w:shd w:val="clear" w:color="auto" w:fill="auto"/>
          </w:tcPr>
          <w:p w14:paraId="4A2DCDA0">
            <w:pPr>
              <w:pStyle w:val="76"/>
              <w:rPr>
                <w:rFonts w:hint="default" w:ascii="Times New Roman" w:hAnsi="Times New Roman" w:eastAsia="宋体" w:cs="Times New Roman"/>
                <w:kern w:val="0"/>
                <w:sz w:val="21"/>
                <w:szCs w:val="21"/>
              </w:rPr>
            </w:pPr>
          </w:p>
        </w:tc>
        <w:tc>
          <w:tcPr>
            <w:tcW w:w="839" w:type="dxa"/>
            <w:shd w:val="clear" w:color="auto" w:fill="auto"/>
          </w:tcPr>
          <w:p w14:paraId="5A365461">
            <w:pPr>
              <w:pStyle w:val="76"/>
              <w:rPr>
                <w:rFonts w:hint="default" w:ascii="Times New Roman" w:hAnsi="Times New Roman" w:eastAsia="宋体" w:cs="Times New Roman"/>
                <w:kern w:val="0"/>
                <w:sz w:val="21"/>
                <w:szCs w:val="21"/>
              </w:rPr>
            </w:pPr>
          </w:p>
        </w:tc>
      </w:tr>
      <w:tr w14:paraId="0033DB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tcPr>
          <w:p w14:paraId="25CD48F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5</w:t>
            </w:r>
          </w:p>
        </w:tc>
        <w:tc>
          <w:tcPr>
            <w:tcW w:w="2769" w:type="dxa"/>
            <w:gridSpan w:val="2"/>
            <w:shd w:val="clear" w:color="auto" w:fill="auto"/>
          </w:tcPr>
          <w:p w14:paraId="4F75B87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顶升速度</w:t>
            </w:r>
          </w:p>
        </w:tc>
        <w:tc>
          <w:tcPr>
            <w:tcW w:w="1231" w:type="dxa"/>
            <w:shd w:val="clear" w:color="auto" w:fill="auto"/>
          </w:tcPr>
          <w:p w14:paraId="7233CEE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mm/s</w:t>
            </w:r>
          </w:p>
        </w:tc>
        <w:tc>
          <w:tcPr>
            <w:tcW w:w="1334" w:type="dxa"/>
            <w:shd w:val="clear" w:color="auto" w:fill="auto"/>
          </w:tcPr>
          <w:p w14:paraId="48947969">
            <w:pPr>
              <w:pStyle w:val="76"/>
              <w:rPr>
                <w:rFonts w:hint="default" w:ascii="Times New Roman" w:hAnsi="Times New Roman" w:eastAsia="宋体" w:cs="Times New Roman"/>
                <w:kern w:val="0"/>
                <w:sz w:val="21"/>
                <w:szCs w:val="21"/>
              </w:rPr>
            </w:pPr>
          </w:p>
        </w:tc>
        <w:tc>
          <w:tcPr>
            <w:tcW w:w="1829" w:type="dxa"/>
            <w:shd w:val="clear" w:color="auto" w:fill="auto"/>
          </w:tcPr>
          <w:p w14:paraId="03028BBD">
            <w:pPr>
              <w:pStyle w:val="76"/>
              <w:rPr>
                <w:rFonts w:hint="default" w:ascii="Times New Roman" w:hAnsi="Times New Roman" w:eastAsia="宋体" w:cs="Times New Roman"/>
                <w:kern w:val="0"/>
                <w:sz w:val="21"/>
                <w:szCs w:val="21"/>
              </w:rPr>
            </w:pPr>
          </w:p>
        </w:tc>
        <w:tc>
          <w:tcPr>
            <w:tcW w:w="839" w:type="dxa"/>
            <w:shd w:val="clear" w:color="auto" w:fill="auto"/>
          </w:tcPr>
          <w:p w14:paraId="13B775EE">
            <w:pPr>
              <w:pStyle w:val="76"/>
              <w:rPr>
                <w:rFonts w:hint="default" w:ascii="Times New Roman" w:hAnsi="Times New Roman" w:eastAsia="宋体" w:cs="Times New Roman"/>
                <w:kern w:val="0"/>
                <w:sz w:val="21"/>
                <w:szCs w:val="21"/>
              </w:rPr>
            </w:pPr>
          </w:p>
        </w:tc>
      </w:tr>
      <w:tr w14:paraId="00A89F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tcPr>
          <w:p w14:paraId="63D1907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6</w:t>
            </w:r>
          </w:p>
        </w:tc>
        <w:tc>
          <w:tcPr>
            <w:tcW w:w="2769" w:type="dxa"/>
            <w:gridSpan w:val="2"/>
            <w:shd w:val="clear" w:color="auto" w:fill="auto"/>
          </w:tcPr>
          <w:p w14:paraId="79A146F4">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单位面积承载力</w:t>
            </w:r>
          </w:p>
        </w:tc>
        <w:tc>
          <w:tcPr>
            <w:tcW w:w="1231" w:type="dxa"/>
            <w:shd w:val="clear" w:color="auto" w:fill="auto"/>
          </w:tcPr>
          <w:p w14:paraId="3B2BF14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kN/m</w:t>
            </w:r>
            <w:r>
              <w:rPr>
                <w:rFonts w:hint="default" w:ascii="Times New Roman" w:hAnsi="Times New Roman" w:eastAsia="宋体" w:cs="Times New Roman"/>
                <w:kern w:val="0"/>
                <w:sz w:val="21"/>
                <w:szCs w:val="21"/>
                <w:vertAlign w:val="superscript"/>
              </w:rPr>
              <w:t>2</w:t>
            </w:r>
          </w:p>
        </w:tc>
        <w:tc>
          <w:tcPr>
            <w:tcW w:w="1334" w:type="dxa"/>
            <w:shd w:val="clear" w:color="auto" w:fill="auto"/>
          </w:tcPr>
          <w:p w14:paraId="1FD42DB3">
            <w:pPr>
              <w:pStyle w:val="76"/>
              <w:rPr>
                <w:rFonts w:hint="default" w:ascii="Times New Roman" w:hAnsi="Times New Roman" w:eastAsia="宋体" w:cs="Times New Roman"/>
                <w:kern w:val="0"/>
                <w:sz w:val="21"/>
                <w:szCs w:val="21"/>
              </w:rPr>
            </w:pPr>
          </w:p>
        </w:tc>
        <w:tc>
          <w:tcPr>
            <w:tcW w:w="1829" w:type="dxa"/>
            <w:shd w:val="clear" w:color="auto" w:fill="auto"/>
          </w:tcPr>
          <w:p w14:paraId="29E9FE00">
            <w:pPr>
              <w:pStyle w:val="76"/>
              <w:rPr>
                <w:rFonts w:hint="default" w:ascii="Times New Roman" w:hAnsi="Times New Roman" w:eastAsia="宋体" w:cs="Times New Roman"/>
                <w:kern w:val="0"/>
                <w:sz w:val="21"/>
                <w:szCs w:val="21"/>
              </w:rPr>
            </w:pPr>
          </w:p>
        </w:tc>
        <w:tc>
          <w:tcPr>
            <w:tcW w:w="839" w:type="dxa"/>
            <w:shd w:val="clear" w:color="auto" w:fill="auto"/>
          </w:tcPr>
          <w:p w14:paraId="10C214E7">
            <w:pPr>
              <w:pStyle w:val="76"/>
              <w:rPr>
                <w:rFonts w:hint="default" w:ascii="Times New Roman" w:hAnsi="Times New Roman" w:eastAsia="宋体" w:cs="Times New Roman"/>
                <w:kern w:val="0"/>
                <w:sz w:val="21"/>
                <w:szCs w:val="21"/>
              </w:rPr>
            </w:pPr>
          </w:p>
        </w:tc>
      </w:tr>
      <w:tr w14:paraId="07388B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tcPr>
          <w:p w14:paraId="04BB87B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7</w:t>
            </w:r>
          </w:p>
        </w:tc>
        <w:tc>
          <w:tcPr>
            <w:tcW w:w="2769" w:type="dxa"/>
            <w:gridSpan w:val="2"/>
            <w:shd w:val="clear" w:color="auto" w:fill="auto"/>
          </w:tcPr>
          <w:p w14:paraId="29513CB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集成混凝土布料机</w:t>
            </w:r>
          </w:p>
        </w:tc>
        <w:tc>
          <w:tcPr>
            <w:tcW w:w="1231" w:type="dxa"/>
            <w:shd w:val="clear" w:color="auto" w:fill="auto"/>
          </w:tcPr>
          <w:p w14:paraId="2C91E5E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334" w:type="dxa"/>
            <w:shd w:val="clear" w:color="auto" w:fill="auto"/>
          </w:tcPr>
          <w:p w14:paraId="742ECBED">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是（）否（）</w:t>
            </w:r>
          </w:p>
        </w:tc>
        <w:tc>
          <w:tcPr>
            <w:tcW w:w="1829" w:type="dxa"/>
            <w:shd w:val="clear" w:color="auto" w:fill="auto"/>
          </w:tcPr>
          <w:p w14:paraId="4252359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是（）否（）</w:t>
            </w:r>
          </w:p>
        </w:tc>
        <w:tc>
          <w:tcPr>
            <w:tcW w:w="839" w:type="dxa"/>
            <w:shd w:val="clear" w:color="auto" w:fill="auto"/>
          </w:tcPr>
          <w:p w14:paraId="66DEAA4F">
            <w:pPr>
              <w:pStyle w:val="76"/>
              <w:rPr>
                <w:rFonts w:hint="default" w:ascii="Times New Roman" w:hAnsi="Times New Roman" w:eastAsia="宋体" w:cs="Times New Roman"/>
                <w:kern w:val="0"/>
                <w:sz w:val="21"/>
                <w:szCs w:val="21"/>
              </w:rPr>
            </w:pPr>
          </w:p>
        </w:tc>
      </w:tr>
      <w:tr w14:paraId="492EBE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tcPr>
          <w:p w14:paraId="1F465F0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8</w:t>
            </w:r>
          </w:p>
        </w:tc>
        <w:tc>
          <w:tcPr>
            <w:tcW w:w="2769" w:type="dxa"/>
            <w:gridSpan w:val="2"/>
            <w:shd w:val="clear" w:color="auto" w:fill="auto"/>
          </w:tcPr>
          <w:p w14:paraId="69B7470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混凝土布料机布料半径</w:t>
            </w:r>
          </w:p>
        </w:tc>
        <w:tc>
          <w:tcPr>
            <w:tcW w:w="1231" w:type="dxa"/>
            <w:shd w:val="clear" w:color="auto" w:fill="auto"/>
          </w:tcPr>
          <w:p w14:paraId="372CFB6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w:t>
            </w:r>
          </w:p>
        </w:tc>
        <w:tc>
          <w:tcPr>
            <w:tcW w:w="1334" w:type="dxa"/>
            <w:shd w:val="clear" w:color="auto" w:fill="auto"/>
          </w:tcPr>
          <w:p w14:paraId="53B5CE80">
            <w:pPr>
              <w:pStyle w:val="76"/>
              <w:rPr>
                <w:rFonts w:hint="default" w:ascii="Times New Roman" w:hAnsi="Times New Roman" w:eastAsia="宋体" w:cs="Times New Roman"/>
                <w:kern w:val="0"/>
                <w:sz w:val="21"/>
                <w:szCs w:val="21"/>
              </w:rPr>
            </w:pPr>
          </w:p>
        </w:tc>
        <w:tc>
          <w:tcPr>
            <w:tcW w:w="1829" w:type="dxa"/>
            <w:shd w:val="clear" w:color="auto" w:fill="auto"/>
          </w:tcPr>
          <w:p w14:paraId="00BFD8CC">
            <w:pPr>
              <w:pStyle w:val="76"/>
              <w:rPr>
                <w:rFonts w:hint="default" w:ascii="Times New Roman" w:hAnsi="Times New Roman" w:eastAsia="宋体" w:cs="Times New Roman"/>
                <w:kern w:val="0"/>
                <w:sz w:val="21"/>
                <w:szCs w:val="21"/>
              </w:rPr>
            </w:pPr>
          </w:p>
        </w:tc>
        <w:tc>
          <w:tcPr>
            <w:tcW w:w="839" w:type="dxa"/>
            <w:shd w:val="clear" w:color="auto" w:fill="auto"/>
          </w:tcPr>
          <w:p w14:paraId="5AECCAD9">
            <w:pPr>
              <w:pStyle w:val="76"/>
              <w:rPr>
                <w:rFonts w:hint="default" w:ascii="Times New Roman" w:hAnsi="Times New Roman" w:eastAsia="宋体" w:cs="Times New Roman"/>
                <w:kern w:val="0"/>
                <w:sz w:val="21"/>
                <w:szCs w:val="21"/>
              </w:rPr>
            </w:pPr>
          </w:p>
        </w:tc>
      </w:tr>
      <w:tr w14:paraId="57AC49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tcPr>
          <w:p w14:paraId="214667C3">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9</w:t>
            </w:r>
          </w:p>
        </w:tc>
        <w:tc>
          <w:tcPr>
            <w:tcW w:w="2769" w:type="dxa"/>
            <w:gridSpan w:val="2"/>
            <w:shd w:val="clear" w:color="auto" w:fill="auto"/>
          </w:tcPr>
          <w:p w14:paraId="25075FA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集成降温、降尘、混凝土养护设施</w:t>
            </w:r>
          </w:p>
        </w:tc>
        <w:tc>
          <w:tcPr>
            <w:tcW w:w="1231" w:type="dxa"/>
            <w:shd w:val="clear" w:color="auto" w:fill="auto"/>
          </w:tcPr>
          <w:p w14:paraId="26ECA1B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334" w:type="dxa"/>
            <w:shd w:val="clear" w:color="auto" w:fill="auto"/>
          </w:tcPr>
          <w:p w14:paraId="5F05D25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是（）否（）</w:t>
            </w:r>
          </w:p>
        </w:tc>
        <w:tc>
          <w:tcPr>
            <w:tcW w:w="1829" w:type="dxa"/>
            <w:shd w:val="clear" w:color="auto" w:fill="auto"/>
          </w:tcPr>
          <w:p w14:paraId="7D62FEB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是（）否（）</w:t>
            </w:r>
          </w:p>
        </w:tc>
        <w:tc>
          <w:tcPr>
            <w:tcW w:w="839" w:type="dxa"/>
            <w:shd w:val="clear" w:color="auto" w:fill="auto"/>
          </w:tcPr>
          <w:p w14:paraId="59D190C9">
            <w:pPr>
              <w:pStyle w:val="76"/>
              <w:rPr>
                <w:rFonts w:hint="default" w:ascii="Times New Roman" w:hAnsi="Times New Roman" w:eastAsia="宋体" w:cs="Times New Roman"/>
                <w:kern w:val="0"/>
                <w:sz w:val="21"/>
                <w:szCs w:val="21"/>
              </w:rPr>
            </w:pPr>
          </w:p>
        </w:tc>
      </w:tr>
      <w:tr w14:paraId="644FE6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tcBorders>
              <w:bottom w:val="single" w:color="auto" w:sz="4" w:space="0"/>
            </w:tcBorders>
            <w:shd w:val="clear" w:color="auto" w:fill="auto"/>
          </w:tcPr>
          <w:p w14:paraId="0796700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10</w:t>
            </w:r>
          </w:p>
        </w:tc>
        <w:tc>
          <w:tcPr>
            <w:tcW w:w="2769" w:type="dxa"/>
            <w:gridSpan w:val="2"/>
            <w:tcBorders>
              <w:bottom w:val="single" w:color="auto" w:sz="4" w:space="0"/>
            </w:tcBorders>
            <w:shd w:val="clear" w:color="auto" w:fill="auto"/>
          </w:tcPr>
          <w:p w14:paraId="3155244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集成雨篷</w:t>
            </w:r>
          </w:p>
        </w:tc>
        <w:tc>
          <w:tcPr>
            <w:tcW w:w="1231" w:type="dxa"/>
            <w:tcBorders>
              <w:bottom w:val="single" w:color="auto" w:sz="4" w:space="0"/>
            </w:tcBorders>
            <w:shd w:val="clear" w:color="auto" w:fill="auto"/>
          </w:tcPr>
          <w:p w14:paraId="2A5E4A5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334" w:type="dxa"/>
            <w:tcBorders>
              <w:bottom w:val="single" w:color="auto" w:sz="4" w:space="0"/>
            </w:tcBorders>
            <w:shd w:val="clear" w:color="auto" w:fill="auto"/>
          </w:tcPr>
          <w:p w14:paraId="7E5666BB">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是（）否（）</w:t>
            </w:r>
          </w:p>
        </w:tc>
        <w:tc>
          <w:tcPr>
            <w:tcW w:w="1829" w:type="dxa"/>
            <w:tcBorders>
              <w:bottom w:val="single" w:color="auto" w:sz="4" w:space="0"/>
            </w:tcBorders>
            <w:shd w:val="clear" w:color="auto" w:fill="auto"/>
          </w:tcPr>
          <w:p w14:paraId="53B01B8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是（）否（）</w:t>
            </w:r>
          </w:p>
        </w:tc>
        <w:tc>
          <w:tcPr>
            <w:tcW w:w="839" w:type="dxa"/>
            <w:tcBorders>
              <w:bottom w:val="single" w:color="auto" w:sz="4" w:space="0"/>
            </w:tcBorders>
            <w:shd w:val="clear" w:color="auto" w:fill="auto"/>
          </w:tcPr>
          <w:p w14:paraId="261DE7BC">
            <w:pPr>
              <w:pStyle w:val="76"/>
              <w:rPr>
                <w:rFonts w:hint="default" w:ascii="Times New Roman" w:hAnsi="Times New Roman" w:eastAsia="宋体" w:cs="Times New Roman"/>
                <w:kern w:val="0"/>
                <w:sz w:val="21"/>
                <w:szCs w:val="21"/>
              </w:rPr>
            </w:pPr>
          </w:p>
        </w:tc>
      </w:tr>
      <w:tr w14:paraId="688AB0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tcBorders>
              <w:top w:val="single" w:color="auto" w:sz="4" w:space="0"/>
              <w:bottom w:val="single" w:color="auto" w:sz="8" w:space="0"/>
            </w:tcBorders>
            <w:shd w:val="clear" w:color="auto" w:fill="auto"/>
          </w:tcPr>
          <w:p w14:paraId="6841D023">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11</w:t>
            </w:r>
          </w:p>
        </w:tc>
        <w:tc>
          <w:tcPr>
            <w:tcW w:w="2769" w:type="dxa"/>
            <w:gridSpan w:val="2"/>
            <w:tcBorders>
              <w:top w:val="single" w:color="auto" w:sz="4" w:space="0"/>
              <w:bottom w:val="single" w:color="auto" w:sz="8" w:space="0"/>
            </w:tcBorders>
            <w:shd w:val="clear" w:color="auto" w:fill="auto"/>
          </w:tcPr>
          <w:p w14:paraId="3FDABE3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空载试验测试</w:t>
            </w:r>
          </w:p>
        </w:tc>
        <w:tc>
          <w:tcPr>
            <w:tcW w:w="1231" w:type="dxa"/>
            <w:tcBorders>
              <w:top w:val="single" w:color="auto" w:sz="4" w:space="0"/>
              <w:bottom w:val="single" w:color="auto" w:sz="8" w:space="0"/>
            </w:tcBorders>
            <w:shd w:val="clear" w:color="auto" w:fill="auto"/>
          </w:tcPr>
          <w:p w14:paraId="45BFDBE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334" w:type="dxa"/>
            <w:tcBorders>
              <w:top w:val="single" w:color="auto" w:sz="4" w:space="0"/>
              <w:bottom w:val="single" w:color="auto" w:sz="8" w:space="0"/>
            </w:tcBorders>
            <w:shd w:val="clear" w:color="auto" w:fill="auto"/>
          </w:tcPr>
          <w:p w14:paraId="6C6344C4">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829" w:type="dxa"/>
            <w:tcBorders>
              <w:top w:val="single" w:color="auto" w:sz="4" w:space="0"/>
              <w:bottom w:val="single" w:color="auto" w:sz="8" w:space="0"/>
            </w:tcBorders>
            <w:shd w:val="clear" w:color="auto" w:fill="auto"/>
          </w:tcPr>
          <w:p w14:paraId="375200F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合格（）不合格（）</w:t>
            </w:r>
          </w:p>
        </w:tc>
        <w:tc>
          <w:tcPr>
            <w:tcW w:w="839" w:type="dxa"/>
            <w:tcBorders>
              <w:top w:val="single" w:color="auto" w:sz="4" w:space="0"/>
              <w:bottom w:val="single" w:color="auto" w:sz="8" w:space="0"/>
            </w:tcBorders>
            <w:shd w:val="clear" w:color="auto" w:fill="auto"/>
          </w:tcPr>
          <w:p w14:paraId="5FFC2E57">
            <w:pPr>
              <w:pStyle w:val="76"/>
              <w:rPr>
                <w:rFonts w:hint="default" w:ascii="Times New Roman" w:hAnsi="Times New Roman" w:eastAsia="宋体" w:cs="Times New Roman"/>
                <w:kern w:val="0"/>
                <w:sz w:val="21"/>
                <w:szCs w:val="21"/>
              </w:rPr>
            </w:pPr>
          </w:p>
        </w:tc>
      </w:tr>
    </w:tbl>
    <w:p w14:paraId="67993B24">
      <w:pPr>
        <w:pStyle w:val="73"/>
        <w:ind w:firstLine="0" w:firstLineChars="0"/>
      </w:pPr>
    </w:p>
    <w:p w14:paraId="3BA27BB9">
      <w:pPr>
        <w:pStyle w:val="73"/>
        <w:ind w:firstLine="420"/>
      </w:pPr>
      <w:r>
        <w:rPr>
          <w:rFonts w:hint="eastAsia"/>
        </w:rPr>
        <w:t>整机质量测量记录表见表</w:t>
      </w:r>
      <w:r>
        <w:rPr>
          <w:rFonts w:ascii="Times New Roman"/>
        </w:rPr>
        <w:t>A.</w:t>
      </w:r>
      <w:r>
        <w:rPr>
          <w:rFonts w:hint="eastAsia" w:ascii="Times New Roman"/>
        </w:rPr>
        <w:t>2</w:t>
      </w:r>
      <w:r>
        <w:rPr>
          <w:rFonts w:hint="eastAsia"/>
        </w:rPr>
        <w:t>。</w:t>
      </w:r>
    </w:p>
    <w:p w14:paraId="568FCA86">
      <w:pPr>
        <w:pStyle w:val="75"/>
        <w:spacing w:before="156" w:after="156"/>
        <w:rPr>
          <w:sz w:val="20"/>
          <w:szCs w:val="20"/>
        </w:rPr>
      </w:pPr>
      <w:bookmarkStart w:id="198" w:name="_Toc195545784"/>
      <w:r>
        <w:rPr>
          <w:rFonts w:hint="eastAsia"/>
          <w:sz w:val="20"/>
          <w:szCs w:val="20"/>
        </w:rPr>
        <w:t>整机质量测量记录表</w:t>
      </w:r>
      <w:bookmarkEnd w:id="198"/>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89"/>
        <w:gridCol w:w="1294"/>
        <w:gridCol w:w="1294"/>
        <w:gridCol w:w="1294"/>
        <w:gridCol w:w="1294"/>
        <w:gridCol w:w="1294"/>
        <w:gridCol w:w="1291"/>
      </w:tblGrid>
      <w:tr w14:paraId="74B3DE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712" w:type="pct"/>
            <w:tcBorders>
              <w:top w:val="single" w:color="auto" w:sz="8" w:space="0"/>
              <w:bottom w:val="single" w:color="auto" w:sz="8" w:space="0"/>
            </w:tcBorders>
            <w:shd w:val="clear" w:color="auto" w:fill="auto"/>
            <w:vAlign w:val="center"/>
          </w:tcPr>
          <w:p w14:paraId="013A72FA">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序号</w:t>
            </w:r>
          </w:p>
        </w:tc>
        <w:tc>
          <w:tcPr>
            <w:tcW w:w="715" w:type="pct"/>
            <w:tcBorders>
              <w:top w:val="single" w:color="auto" w:sz="8" w:space="0"/>
              <w:bottom w:val="single" w:color="auto" w:sz="8" w:space="0"/>
            </w:tcBorders>
            <w:shd w:val="clear" w:color="auto" w:fill="auto"/>
            <w:vAlign w:val="center"/>
          </w:tcPr>
          <w:p w14:paraId="18BDA33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项目</w:t>
            </w:r>
          </w:p>
        </w:tc>
        <w:tc>
          <w:tcPr>
            <w:tcW w:w="715" w:type="pct"/>
            <w:tcBorders>
              <w:top w:val="single" w:color="auto" w:sz="8" w:space="0"/>
              <w:bottom w:val="single" w:color="auto" w:sz="8" w:space="0"/>
            </w:tcBorders>
            <w:vAlign w:val="center"/>
          </w:tcPr>
          <w:p w14:paraId="7CD3F98A">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车次</w:t>
            </w:r>
          </w:p>
        </w:tc>
        <w:tc>
          <w:tcPr>
            <w:tcW w:w="715" w:type="pct"/>
            <w:tcBorders>
              <w:top w:val="single" w:color="auto" w:sz="8" w:space="0"/>
              <w:bottom w:val="single" w:color="auto" w:sz="8" w:space="0"/>
            </w:tcBorders>
            <w:shd w:val="clear" w:color="auto" w:fill="auto"/>
            <w:vAlign w:val="center"/>
          </w:tcPr>
          <w:p w14:paraId="3E2C4A6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整车质量kg</w:t>
            </w:r>
          </w:p>
        </w:tc>
        <w:tc>
          <w:tcPr>
            <w:tcW w:w="715" w:type="pct"/>
            <w:tcBorders>
              <w:top w:val="single" w:color="auto" w:sz="8" w:space="0"/>
              <w:bottom w:val="single" w:color="auto" w:sz="8" w:space="0"/>
            </w:tcBorders>
            <w:shd w:val="clear" w:color="auto" w:fill="auto"/>
            <w:vAlign w:val="center"/>
          </w:tcPr>
          <w:p w14:paraId="44302DA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空车质量kg</w:t>
            </w:r>
          </w:p>
        </w:tc>
        <w:tc>
          <w:tcPr>
            <w:tcW w:w="715" w:type="pct"/>
            <w:tcBorders>
              <w:top w:val="single" w:color="auto" w:sz="8" w:space="0"/>
              <w:bottom w:val="single" w:color="auto" w:sz="8" w:space="0"/>
            </w:tcBorders>
            <w:vAlign w:val="center"/>
          </w:tcPr>
          <w:p w14:paraId="075C7A54">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差值kg</w:t>
            </w:r>
          </w:p>
        </w:tc>
        <w:tc>
          <w:tcPr>
            <w:tcW w:w="712" w:type="pct"/>
            <w:tcBorders>
              <w:top w:val="single" w:color="auto" w:sz="8" w:space="0"/>
              <w:bottom w:val="single" w:color="auto" w:sz="8" w:space="0"/>
            </w:tcBorders>
            <w:shd w:val="clear" w:color="auto" w:fill="auto"/>
            <w:vAlign w:val="center"/>
          </w:tcPr>
          <w:p w14:paraId="0755769B">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备注</w:t>
            </w:r>
          </w:p>
        </w:tc>
      </w:tr>
      <w:tr w14:paraId="151D75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2" w:type="pct"/>
            <w:tcBorders>
              <w:top w:val="single" w:color="auto" w:sz="8" w:space="0"/>
            </w:tcBorders>
            <w:shd w:val="clear" w:color="auto" w:fill="auto"/>
            <w:vAlign w:val="center"/>
          </w:tcPr>
          <w:p w14:paraId="336F2F3B">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715" w:type="pct"/>
            <w:vMerge w:val="restart"/>
            <w:tcBorders>
              <w:top w:val="single" w:color="auto" w:sz="8" w:space="0"/>
            </w:tcBorders>
            <w:shd w:val="clear" w:color="auto" w:fill="auto"/>
            <w:vAlign w:val="center"/>
          </w:tcPr>
          <w:p w14:paraId="61B5204D">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钢平台系统</w:t>
            </w:r>
          </w:p>
        </w:tc>
        <w:tc>
          <w:tcPr>
            <w:tcW w:w="715" w:type="pct"/>
            <w:tcBorders>
              <w:top w:val="single" w:color="auto" w:sz="8" w:space="0"/>
            </w:tcBorders>
            <w:vAlign w:val="center"/>
          </w:tcPr>
          <w:p w14:paraId="3E33EE93">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第1车</w:t>
            </w:r>
          </w:p>
        </w:tc>
        <w:tc>
          <w:tcPr>
            <w:tcW w:w="715" w:type="pct"/>
            <w:tcBorders>
              <w:top w:val="single" w:color="auto" w:sz="8" w:space="0"/>
            </w:tcBorders>
            <w:shd w:val="clear" w:color="auto" w:fill="auto"/>
            <w:vAlign w:val="center"/>
          </w:tcPr>
          <w:p w14:paraId="7CA523CD">
            <w:pPr>
              <w:pStyle w:val="76"/>
              <w:rPr>
                <w:rFonts w:hint="default" w:ascii="Times New Roman" w:hAnsi="Times New Roman" w:eastAsia="宋体" w:cs="Times New Roman"/>
                <w:kern w:val="0"/>
                <w:sz w:val="21"/>
                <w:szCs w:val="21"/>
              </w:rPr>
            </w:pPr>
          </w:p>
        </w:tc>
        <w:tc>
          <w:tcPr>
            <w:tcW w:w="715" w:type="pct"/>
            <w:tcBorders>
              <w:top w:val="single" w:color="auto" w:sz="8" w:space="0"/>
            </w:tcBorders>
            <w:shd w:val="clear" w:color="auto" w:fill="auto"/>
            <w:vAlign w:val="center"/>
          </w:tcPr>
          <w:p w14:paraId="665B7D03">
            <w:pPr>
              <w:pStyle w:val="76"/>
              <w:rPr>
                <w:rFonts w:hint="default" w:ascii="Times New Roman" w:hAnsi="Times New Roman" w:eastAsia="宋体" w:cs="Times New Roman"/>
                <w:kern w:val="0"/>
                <w:sz w:val="21"/>
                <w:szCs w:val="21"/>
              </w:rPr>
            </w:pPr>
          </w:p>
        </w:tc>
        <w:tc>
          <w:tcPr>
            <w:tcW w:w="715" w:type="pct"/>
            <w:tcBorders>
              <w:top w:val="single" w:color="auto" w:sz="8" w:space="0"/>
            </w:tcBorders>
            <w:vAlign w:val="center"/>
          </w:tcPr>
          <w:p w14:paraId="465F4289">
            <w:pPr>
              <w:pStyle w:val="76"/>
              <w:rPr>
                <w:rFonts w:hint="default" w:ascii="Times New Roman" w:hAnsi="Times New Roman" w:eastAsia="宋体" w:cs="Times New Roman"/>
                <w:kern w:val="0"/>
                <w:sz w:val="21"/>
                <w:szCs w:val="21"/>
              </w:rPr>
            </w:pPr>
          </w:p>
        </w:tc>
        <w:tc>
          <w:tcPr>
            <w:tcW w:w="712" w:type="pct"/>
            <w:tcBorders>
              <w:top w:val="single" w:color="auto" w:sz="8" w:space="0"/>
            </w:tcBorders>
            <w:shd w:val="clear" w:color="auto" w:fill="auto"/>
            <w:vAlign w:val="center"/>
          </w:tcPr>
          <w:p w14:paraId="5ED7BA93">
            <w:pPr>
              <w:pStyle w:val="76"/>
              <w:rPr>
                <w:rFonts w:hint="default" w:ascii="Times New Roman" w:hAnsi="Times New Roman" w:eastAsia="宋体" w:cs="Times New Roman"/>
                <w:kern w:val="0"/>
                <w:sz w:val="21"/>
                <w:szCs w:val="21"/>
              </w:rPr>
            </w:pPr>
          </w:p>
        </w:tc>
      </w:tr>
      <w:tr w14:paraId="026CFF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2" w:type="pct"/>
            <w:shd w:val="clear" w:color="auto" w:fill="auto"/>
            <w:vAlign w:val="center"/>
          </w:tcPr>
          <w:p w14:paraId="2622BFF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715" w:type="pct"/>
            <w:vMerge w:val="continue"/>
            <w:shd w:val="clear" w:color="auto" w:fill="auto"/>
            <w:vAlign w:val="center"/>
          </w:tcPr>
          <w:p w14:paraId="33325E8A">
            <w:pPr>
              <w:pStyle w:val="76"/>
              <w:rPr>
                <w:rFonts w:hint="default" w:ascii="Times New Roman" w:hAnsi="Times New Roman" w:eastAsia="宋体" w:cs="Times New Roman"/>
                <w:kern w:val="0"/>
                <w:sz w:val="21"/>
                <w:szCs w:val="21"/>
              </w:rPr>
            </w:pPr>
          </w:p>
        </w:tc>
        <w:tc>
          <w:tcPr>
            <w:tcW w:w="715" w:type="pct"/>
            <w:vAlign w:val="center"/>
          </w:tcPr>
          <w:p w14:paraId="657B21F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第2车</w:t>
            </w:r>
          </w:p>
        </w:tc>
        <w:tc>
          <w:tcPr>
            <w:tcW w:w="715" w:type="pct"/>
            <w:shd w:val="clear" w:color="auto" w:fill="auto"/>
            <w:vAlign w:val="center"/>
          </w:tcPr>
          <w:p w14:paraId="2E61B611">
            <w:pPr>
              <w:pStyle w:val="76"/>
              <w:rPr>
                <w:rFonts w:hint="default" w:ascii="Times New Roman" w:hAnsi="Times New Roman" w:eastAsia="宋体" w:cs="Times New Roman"/>
                <w:kern w:val="0"/>
                <w:sz w:val="21"/>
                <w:szCs w:val="21"/>
              </w:rPr>
            </w:pPr>
          </w:p>
        </w:tc>
        <w:tc>
          <w:tcPr>
            <w:tcW w:w="715" w:type="pct"/>
            <w:shd w:val="clear" w:color="auto" w:fill="auto"/>
            <w:vAlign w:val="center"/>
          </w:tcPr>
          <w:p w14:paraId="75926D29">
            <w:pPr>
              <w:pStyle w:val="76"/>
              <w:rPr>
                <w:rFonts w:hint="default" w:ascii="Times New Roman" w:hAnsi="Times New Roman" w:eastAsia="宋体" w:cs="Times New Roman"/>
                <w:kern w:val="0"/>
                <w:sz w:val="21"/>
                <w:szCs w:val="21"/>
              </w:rPr>
            </w:pPr>
          </w:p>
        </w:tc>
        <w:tc>
          <w:tcPr>
            <w:tcW w:w="715" w:type="pct"/>
            <w:vAlign w:val="center"/>
          </w:tcPr>
          <w:p w14:paraId="3ADF32FD">
            <w:pPr>
              <w:pStyle w:val="76"/>
              <w:rPr>
                <w:rFonts w:hint="default" w:ascii="Times New Roman" w:hAnsi="Times New Roman" w:eastAsia="宋体" w:cs="Times New Roman"/>
                <w:kern w:val="0"/>
                <w:sz w:val="21"/>
                <w:szCs w:val="21"/>
              </w:rPr>
            </w:pPr>
          </w:p>
        </w:tc>
        <w:tc>
          <w:tcPr>
            <w:tcW w:w="712" w:type="pct"/>
            <w:shd w:val="clear" w:color="auto" w:fill="auto"/>
            <w:vAlign w:val="center"/>
          </w:tcPr>
          <w:p w14:paraId="0D72A693">
            <w:pPr>
              <w:pStyle w:val="76"/>
              <w:rPr>
                <w:rFonts w:hint="default" w:ascii="Times New Roman" w:hAnsi="Times New Roman" w:eastAsia="宋体" w:cs="Times New Roman"/>
                <w:kern w:val="0"/>
                <w:sz w:val="21"/>
                <w:szCs w:val="21"/>
              </w:rPr>
            </w:pPr>
          </w:p>
        </w:tc>
      </w:tr>
      <w:tr w14:paraId="46D054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2" w:type="pct"/>
            <w:shd w:val="clear" w:color="auto" w:fill="auto"/>
            <w:vAlign w:val="center"/>
          </w:tcPr>
          <w:p w14:paraId="3BF3517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w:t>
            </w:r>
          </w:p>
        </w:tc>
        <w:tc>
          <w:tcPr>
            <w:tcW w:w="715" w:type="pct"/>
            <w:vMerge w:val="continue"/>
            <w:shd w:val="clear" w:color="auto" w:fill="auto"/>
            <w:vAlign w:val="center"/>
          </w:tcPr>
          <w:p w14:paraId="008A48C3">
            <w:pPr>
              <w:pStyle w:val="76"/>
              <w:rPr>
                <w:rFonts w:hint="default" w:ascii="Times New Roman" w:hAnsi="Times New Roman" w:eastAsia="宋体" w:cs="Times New Roman"/>
                <w:kern w:val="0"/>
                <w:sz w:val="21"/>
                <w:szCs w:val="21"/>
              </w:rPr>
            </w:pPr>
          </w:p>
        </w:tc>
        <w:tc>
          <w:tcPr>
            <w:tcW w:w="715" w:type="pct"/>
            <w:vAlign w:val="center"/>
          </w:tcPr>
          <w:p w14:paraId="5416093A">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715" w:type="pct"/>
            <w:shd w:val="clear" w:color="auto" w:fill="auto"/>
            <w:vAlign w:val="center"/>
          </w:tcPr>
          <w:p w14:paraId="6C6CCC3D">
            <w:pPr>
              <w:pStyle w:val="76"/>
              <w:rPr>
                <w:rFonts w:hint="default" w:ascii="Times New Roman" w:hAnsi="Times New Roman" w:eastAsia="宋体" w:cs="Times New Roman"/>
                <w:kern w:val="0"/>
                <w:sz w:val="21"/>
                <w:szCs w:val="21"/>
              </w:rPr>
            </w:pPr>
          </w:p>
        </w:tc>
        <w:tc>
          <w:tcPr>
            <w:tcW w:w="715" w:type="pct"/>
            <w:shd w:val="clear" w:color="auto" w:fill="auto"/>
            <w:vAlign w:val="center"/>
          </w:tcPr>
          <w:p w14:paraId="24E4211F">
            <w:pPr>
              <w:pStyle w:val="76"/>
              <w:rPr>
                <w:rFonts w:hint="default" w:ascii="Times New Roman" w:hAnsi="Times New Roman" w:eastAsia="宋体" w:cs="Times New Roman"/>
                <w:kern w:val="0"/>
                <w:sz w:val="21"/>
                <w:szCs w:val="21"/>
              </w:rPr>
            </w:pPr>
          </w:p>
        </w:tc>
        <w:tc>
          <w:tcPr>
            <w:tcW w:w="715" w:type="pct"/>
            <w:vAlign w:val="center"/>
          </w:tcPr>
          <w:p w14:paraId="5ED75789">
            <w:pPr>
              <w:pStyle w:val="76"/>
              <w:rPr>
                <w:rFonts w:hint="default" w:ascii="Times New Roman" w:hAnsi="Times New Roman" w:eastAsia="宋体" w:cs="Times New Roman"/>
                <w:kern w:val="0"/>
                <w:sz w:val="21"/>
                <w:szCs w:val="21"/>
              </w:rPr>
            </w:pPr>
          </w:p>
        </w:tc>
        <w:tc>
          <w:tcPr>
            <w:tcW w:w="712" w:type="pct"/>
            <w:shd w:val="clear" w:color="auto" w:fill="auto"/>
            <w:vAlign w:val="center"/>
          </w:tcPr>
          <w:p w14:paraId="0646023B">
            <w:pPr>
              <w:pStyle w:val="76"/>
              <w:rPr>
                <w:rFonts w:hint="default" w:ascii="Times New Roman" w:hAnsi="Times New Roman" w:eastAsia="宋体" w:cs="Times New Roman"/>
                <w:kern w:val="0"/>
                <w:sz w:val="21"/>
                <w:szCs w:val="21"/>
              </w:rPr>
            </w:pPr>
          </w:p>
        </w:tc>
      </w:tr>
      <w:tr w14:paraId="01C363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2" w:type="pct"/>
            <w:shd w:val="clear" w:color="auto" w:fill="auto"/>
            <w:vAlign w:val="center"/>
          </w:tcPr>
          <w:p w14:paraId="246FF2E3">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w:t>
            </w:r>
          </w:p>
        </w:tc>
        <w:tc>
          <w:tcPr>
            <w:tcW w:w="715" w:type="pct"/>
            <w:shd w:val="clear" w:color="auto" w:fill="auto"/>
            <w:vAlign w:val="center"/>
          </w:tcPr>
          <w:p w14:paraId="75C5BC16">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支承系统</w:t>
            </w:r>
          </w:p>
        </w:tc>
        <w:tc>
          <w:tcPr>
            <w:tcW w:w="715" w:type="pct"/>
            <w:vAlign w:val="center"/>
          </w:tcPr>
          <w:p w14:paraId="35F8C11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第1车</w:t>
            </w:r>
          </w:p>
        </w:tc>
        <w:tc>
          <w:tcPr>
            <w:tcW w:w="715" w:type="pct"/>
            <w:shd w:val="clear" w:color="auto" w:fill="auto"/>
            <w:vAlign w:val="center"/>
          </w:tcPr>
          <w:p w14:paraId="3DCD9F17">
            <w:pPr>
              <w:pStyle w:val="76"/>
              <w:rPr>
                <w:rFonts w:hint="default" w:ascii="Times New Roman" w:hAnsi="Times New Roman" w:eastAsia="宋体" w:cs="Times New Roman"/>
                <w:kern w:val="0"/>
                <w:sz w:val="21"/>
                <w:szCs w:val="21"/>
              </w:rPr>
            </w:pPr>
          </w:p>
        </w:tc>
        <w:tc>
          <w:tcPr>
            <w:tcW w:w="715" w:type="pct"/>
            <w:shd w:val="clear" w:color="auto" w:fill="auto"/>
            <w:vAlign w:val="center"/>
          </w:tcPr>
          <w:p w14:paraId="145CFC04">
            <w:pPr>
              <w:pStyle w:val="76"/>
              <w:rPr>
                <w:rFonts w:hint="default" w:ascii="Times New Roman" w:hAnsi="Times New Roman" w:eastAsia="宋体" w:cs="Times New Roman"/>
                <w:kern w:val="0"/>
                <w:sz w:val="21"/>
                <w:szCs w:val="21"/>
              </w:rPr>
            </w:pPr>
          </w:p>
        </w:tc>
        <w:tc>
          <w:tcPr>
            <w:tcW w:w="715" w:type="pct"/>
            <w:vAlign w:val="center"/>
          </w:tcPr>
          <w:p w14:paraId="4E3CE3F1">
            <w:pPr>
              <w:pStyle w:val="76"/>
              <w:rPr>
                <w:rFonts w:hint="default" w:ascii="Times New Roman" w:hAnsi="Times New Roman" w:eastAsia="宋体" w:cs="Times New Roman"/>
                <w:kern w:val="0"/>
                <w:sz w:val="21"/>
                <w:szCs w:val="21"/>
              </w:rPr>
            </w:pPr>
          </w:p>
        </w:tc>
        <w:tc>
          <w:tcPr>
            <w:tcW w:w="712" w:type="pct"/>
            <w:shd w:val="clear" w:color="auto" w:fill="auto"/>
            <w:vAlign w:val="center"/>
          </w:tcPr>
          <w:p w14:paraId="11018120">
            <w:pPr>
              <w:pStyle w:val="76"/>
              <w:rPr>
                <w:rFonts w:hint="default" w:ascii="Times New Roman" w:hAnsi="Times New Roman" w:eastAsia="宋体" w:cs="Times New Roman"/>
                <w:kern w:val="0"/>
                <w:sz w:val="21"/>
                <w:szCs w:val="21"/>
              </w:rPr>
            </w:pPr>
          </w:p>
        </w:tc>
      </w:tr>
      <w:tr w14:paraId="24E10A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2" w:type="pct"/>
            <w:shd w:val="clear" w:color="auto" w:fill="auto"/>
            <w:vAlign w:val="center"/>
          </w:tcPr>
          <w:p w14:paraId="2A9041B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715" w:type="pct"/>
            <w:shd w:val="clear" w:color="auto" w:fill="auto"/>
            <w:vAlign w:val="center"/>
          </w:tcPr>
          <w:p w14:paraId="5ED38D44">
            <w:pPr>
              <w:pStyle w:val="76"/>
              <w:rPr>
                <w:rFonts w:hint="default" w:ascii="Times New Roman" w:hAnsi="Times New Roman" w:eastAsia="宋体" w:cs="Times New Roman"/>
                <w:kern w:val="0"/>
                <w:sz w:val="21"/>
                <w:szCs w:val="21"/>
              </w:rPr>
            </w:pPr>
          </w:p>
        </w:tc>
        <w:tc>
          <w:tcPr>
            <w:tcW w:w="715" w:type="pct"/>
            <w:vAlign w:val="center"/>
          </w:tcPr>
          <w:p w14:paraId="3C291E0F">
            <w:pPr>
              <w:pStyle w:val="76"/>
              <w:rPr>
                <w:rFonts w:hint="default" w:ascii="Times New Roman" w:hAnsi="Times New Roman" w:eastAsia="宋体" w:cs="Times New Roman"/>
                <w:kern w:val="0"/>
                <w:sz w:val="21"/>
                <w:szCs w:val="21"/>
              </w:rPr>
            </w:pPr>
          </w:p>
        </w:tc>
        <w:tc>
          <w:tcPr>
            <w:tcW w:w="715" w:type="pct"/>
            <w:shd w:val="clear" w:color="auto" w:fill="auto"/>
            <w:vAlign w:val="center"/>
          </w:tcPr>
          <w:p w14:paraId="74DF5765">
            <w:pPr>
              <w:pStyle w:val="76"/>
              <w:rPr>
                <w:rFonts w:hint="default" w:ascii="Times New Roman" w:hAnsi="Times New Roman" w:eastAsia="宋体" w:cs="Times New Roman"/>
                <w:kern w:val="0"/>
                <w:sz w:val="21"/>
                <w:szCs w:val="21"/>
              </w:rPr>
            </w:pPr>
          </w:p>
        </w:tc>
        <w:tc>
          <w:tcPr>
            <w:tcW w:w="715" w:type="pct"/>
            <w:shd w:val="clear" w:color="auto" w:fill="auto"/>
            <w:vAlign w:val="center"/>
          </w:tcPr>
          <w:p w14:paraId="3728BAE6">
            <w:pPr>
              <w:pStyle w:val="76"/>
              <w:rPr>
                <w:rFonts w:hint="default" w:ascii="Times New Roman" w:hAnsi="Times New Roman" w:eastAsia="宋体" w:cs="Times New Roman"/>
                <w:kern w:val="0"/>
                <w:sz w:val="21"/>
                <w:szCs w:val="21"/>
              </w:rPr>
            </w:pPr>
          </w:p>
        </w:tc>
        <w:tc>
          <w:tcPr>
            <w:tcW w:w="715" w:type="pct"/>
            <w:vAlign w:val="center"/>
          </w:tcPr>
          <w:p w14:paraId="5405584F">
            <w:pPr>
              <w:pStyle w:val="76"/>
              <w:rPr>
                <w:rFonts w:hint="default" w:ascii="Times New Roman" w:hAnsi="Times New Roman" w:eastAsia="宋体" w:cs="Times New Roman"/>
                <w:kern w:val="0"/>
                <w:sz w:val="21"/>
                <w:szCs w:val="21"/>
              </w:rPr>
            </w:pPr>
          </w:p>
        </w:tc>
        <w:tc>
          <w:tcPr>
            <w:tcW w:w="712" w:type="pct"/>
            <w:shd w:val="clear" w:color="auto" w:fill="auto"/>
            <w:vAlign w:val="center"/>
          </w:tcPr>
          <w:p w14:paraId="3096D11D">
            <w:pPr>
              <w:pStyle w:val="76"/>
              <w:rPr>
                <w:rFonts w:hint="default" w:ascii="Times New Roman" w:hAnsi="Times New Roman" w:eastAsia="宋体" w:cs="Times New Roman"/>
                <w:kern w:val="0"/>
                <w:sz w:val="21"/>
                <w:szCs w:val="21"/>
              </w:rPr>
            </w:pPr>
          </w:p>
        </w:tc>
      </w:tr>
      <w:tr w14:paraId="363EF1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2" w:type="pct"/>
            <w:shd w:val="clear" w:color="auto" w:fill="auto"/>
            <w:vAlign w:val="center"/>
          </w:tcPr>
          <w:p w14:paraId="5EA6A1C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合计质量kg</w:t>
            </w:r>
          </w:p>
        </w:tc>
        <w:tc>
          <w:tcPr>
            <w:tcW w:w="4288" w:type="pct"/>
            <w:gridSpan w:val="6"/>
            <w:vAlign w:val="center"/>
          </w:tcPr>
          <w:p w14:paraId="4599BEF1">
            <w:pPr>
              <w:pStyle w:val="76"/>
              <w:rPr>
                <w:rFonts w:hint="default" w:ascii="Times New Roman" w:hAnsi="Times New Roman" w:eastAsia="宋体" w:cs="Times New Roman"/>
                <w:kern w:val="0"/>
                <w:sz w:val="21"/>
                <w:szCs w:val="21"/>
              </w:rPr>
            </w:pPr>
          </w:p>
        </w:tc>
      </w:tr>
    </w:tbl>
    <w:p w14:paraId="07CFA3A3">
      <w:pPr>
        <w:widowControl/>
        <w:adjustRightInd/>
        <w:spacing w:line="240" w:lineRule="auto"/>
        <w:jc w:val="left"/>
        <w:rPr>
          <w:rFonts w:ascii="宋体" w:hAnsi="Times New Roman"/>
          <w:kern w:val="0"/>
          <w:szCs w:val="20"/>
        </w:rPr>
      </w:pPr>
    </w:p>
    <w:p w14:paraId="7E9A8219">
      <w:pPr>
        <w:pStyle w:val="73"/>
        <w:ind w:firstLine="420"/>
      </w:pPr>
      <w:r>
        <w:rPr>
          <w:rFonts w:hint="eastAsia"/>
        </w:rPr>
        <w:t>整机顶升速度测试表见表</w:t>
      </w:r>
      <w:r>
        <w:rPr>
          <w:rFonts w:ascii="Times New Roman"/>
        </w:rPr>
        <w:t>A.</w:t>
      </w:r>
      <w:r>
        <w:rPr>
          <w:rFonts w:hint="eastAsia" w:ascii="Times New Roman"/>
        </w:rPr>
        <w:t>3</w:t>
      </w:r>
      <w:r>
        <w:rPr>
          <w:rFonts w:hint="eastAsia"/>
        </w:rPr>
        <w:t>。</w:t>
      </w:r>
    </w:p>
    <w:p w14:paraId="4A659249">
      <w:pPr>
        <w:pStyle w:val="75"/>
        <w:spacing w:before="156" w:after="156"/>
      </w:pPr>
      <w:bookmarkStart w:id="199" w:name="_Toc195545785"/>
      <w:r>
        <w:rPr>
          <w:rFonts w:hint="eastAsia"/>
        </w:rPr>
        <w:t>整机顶升速度测试记录表</w:t>
      </w:r>
      <w:bookmarkEnd w:id="199"/>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93"/>
        <w:gridCol w:w="1296"/>
        <w:gridCol w:w="1293"/>
        <w:gridCol w:w="1293"/>
        <w:gridCol w:w="1288"/>
        <w:gridCol w:w="1299"/>
        <w:gridCol w:w="1288"/>
      </w:tblGrid>
      <w:tr w14:paraId="3E5F8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331" w:type="dxa"/>
            <w:tcBorders>
              <w:top w:val="single" w:color="auto" w:sz="8" w:space="0"/>
              <w:bottom w:val="single" w:color="auto" w:sz="8" w:space="0"/>
            </w:tcBorders>
            <w:shd w:val="clear" w:color="auto" w:fill="auto"/>
            <w:vAlign w:val="center"/>
          </w:tcPr>
          <w:p w14:paraId="1F5F20C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序号</w:t>
            </w:r>
          </w:p>
        </w:tc>
        <w:tc>
          <w:tcPr>
            <w:tcW w:w="1333" w:type="dxa"/>
            <w:tcBorders>
              <w:top w:val="single" w:color="auto" w:sz="8" w:space="0"/>
              <w:bottom w:val="single" w:color="auto" w:sz="8" w:space="0"/>
            </w:tcBorders>
            <w:vAlign w:val="center"/>
          </w:tcPr>
          <w:p w14:paraId="52F9AEB4">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顶升准备</w:t>
            </w:r>
          </w:p>
        </w:tc>
        <w:tc>
          <w:tcPr>
            <w:tcW w:w="1334" w:type="dxa"/>
            <w:tcBorders>
              <w:top w:val="single" w:color="auto" w:sz="8" w:space="0"/>
              <w:bottom w:val="single" w:color="auto" w:sz="8" w:space="0"/>
            </w:tcBorders>
            <w:vAlign w:val="center"/>
          </w:tcPr>
          <w:p w14:paraId="419CD43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计划顶升高度L’</w:t>
            </w:r>
          </w:p>
          <w:p w14:paraId="46B8560B">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1334" w:type="dxa"/>
            <w:tcBorders>
              <w:top w:val="single" w:color="auto" w:sz="8" w:space="0"/>
              <w:bottom w:val="single" w:color="auto" w:sz="8" w:space="0"/>
            </w:tcBorders>
            <w:shd w:val="clear" w:color="auto" w:fill="auto"/>
            <w:vAlign w:val="center"/>
          </w:tcPr>
          <w:p w14:paraId="1D131C1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实测顶升高度L</w:t>
            </w:r>
          </w:p>
          <w:p w14:paraId="6B78ACF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1334" w:type="dxa"/>
            <w:tcBorders>
              <w:top w:val="single" w:color="auto" w:sz="8" w:space="0"/>
              <w:bottom w:val="single" w:color="auto" w:sz="8" w:space="0"/>
            </w:tcBorders>
            <w:shd w:val="clear" w:color="auto" w:fill="auto"/>
            <w:vAlign w:val="center"/>
          </w:tcPr>
          <w:p w14:paraId="403C940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实测顶升时间t</w:t>
            </w:r>
          </w:p>
          <w:p w14:paraId="0F901AE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s</w:t>
            </w:r>
          </w:p>
        </w:tc>
        <w:tc>
          <w:tcPr>
            <w:tcW w:w="1334" w:type="dxa"/>
            <w:tcBorders>
              <w:top w:val="single" w:color="auto" w:sz="8" w:space="0"/>
              <w:bottom w:val="single" w:color="auto" w:sz="8" w:space="0"/>
            </w:tcBorders>
            <w:shd w:val="clear" w:color="auto" w:fill="auto"/>
            <w:vAlign w:val="center"/>
          </w:tcPr>
          <w:p w14:paraId="289DA6C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实测顶升速度v</w:t>
            </w:r>
          </w:p>
          <w:p w14:paraId="2665F3E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mm/s</w:t>
            </w:r>
          </w:p>
        </w:tc>
        <w:tc>
          <w:tcPr>
            <w:tcW w:w="1334" w:type="dxa"/>
            <w:tcBorders>
              <w:top w:val="single" w:color="auto" w:sz="8" w:space="0"/>
              <w:bottom w:val="single" w:color="auto" w:sz="8" w:space="0"/>
            </w:tcBorders>
            <w:shd w:val="clear" w:color="auto" w:fill="auto"/>
            <w:vAlign w:val="center"/>
          </w:tcPr>
          <w:p w14:paraId="304ABDC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备注</w:t>
            </w:r>
          </w:p>
        </w:tc>
      </w:tr>
      <w:tr w14:paraId="0FF38A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1" w:type="dxa"/>
            <w:tcBorders>
              <w:top w:val="single" w:color="auto" w:sz="8" w:space="0"/>
            </w:tcBorders>
            <w:shd w:val="clear" w:color="auto" w:fill="auto"/>
            <w:vAlign w:val="center"/>
          </w:tcPr>
          <w:p w14:paraId="72842C9D">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1333" w:type="dxa"/>
            <w:tcBorders>
              <w:top w:val="single" w:color="auto" w:sz="8" w:space="0"/>
            </w:tcBorders>
            <w:vAlign w:val="center"/>
          </w:tcPr>
          <w:p w14:paraId="2DD23FF4">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是（）否（）</w:t>
            </w:r>
          </w:p>
        </w:tc>
        <w:tc>
          <w:tcPr>
            <w:tcW w:w="1334" w:type="dxa"/>
            <w:tcBorders>
              <w:top w:val="single" w:color="auto" w:sz="8" w:space="0"/>
            </w:tcBorders>
            <w:vAlign w:val="center"/>
          </w:tcPr>
          <w:p w14:paraId="5BE6CA8C">
            <w:pPr>
              <w:pStyle w:val="76"/>
              <w:rPr>
                <w:rFonts w:hint="default" w:ascii="Times New Roman" w:hAnsi="Times New Roman" w:eastAsia="宋体" w:cs="Times New Roman"/>
                <w:kern w:val="0"/>
                <w:sz w:val="21"/>
                <w:szCs w:val="21"/>
              </w:rPr>
            </w:pPr>
          </w:p>
        </w:tc>
        <w:tc>
          <w:tcPr>
            <w:tcW w:w="1334" w:type="dxa"/>
            <w:tcBorders>
              <w:top w:val="single" w:color="auto" w:sz="8" w:space="0"/>
            </w:tcBorders>
            <w:shd w:val="clear" w:color="auto" w:fill="auto"/>
            <w:vAlign w:val="center"/>
          </w:tcPr>
          <w:p w14:paraId="335280B2">
            <w:pPr>
              <w:pStyle w:val="76"/>
              <w:rPr>
                <w:rFonts w:hint="default" w:ascii="Times New Roman" w:hAnsi="Times New Roman" w:eastAsia="宋体" w:cs="Times New Roman"/>
                <w:kern w:val="0"/>
                <w:sz w:val="21"/>
                <w:szCs w:val="21"/>
              </w:rPr>
            </w:pPr>
          </w:p>
        </w:tc>
        <w:tc>
          <w:tcPr>
            <w:tcW w:w="1334" w:type="dxa"/>
            <w:tcBorders>
              <w:top w:val="single" w:color="auto" w:sz="8" w:space="0"/>
            </w:tcBorders>
            <w:shd w:val="clear" w:color="auto" w:fill="auto"/>
            <w:vAlign w:val="center"/>
          </w:tcPr>
          <w:p w14:paraId="7F1FF112">
            <w:pPr>
              <w:pStyle w:val="76"/>
              <w:rPr>
                <w:rFonts w:hint="default" w:ascii="Times New Roman" w:hAnsi="Times New Roman" w:eastAsia="宋体" w:cs="Times New Roman"/>
                <w:kern w:val="0"/>
                <w:sz w:val="21"/>
                <w:szCs w:val="21"/>
              </w:rPr>
            </w:pPr>
          </w:p>
        </w:tc>
        <w:tc>
          <w:tcPr>
            <w:tcW w:w="1334" w:type="dxa"/>
            <w:tcBorders>
              <w:top w:val="single" w:color="auto" w:sz="8" w:space="0"/>
            </w:tcBorders>
            <w:shd w:val="clear" w:color="auto" w:fill="auto"/>
            <w:vAlign w:val="center"/>
          </w:tcPr>
          <w:p w14:paraId="07703987">
            <w:pPr>
              <w:pStyle w:val="76"/>
              <w:rPr>
                <w:rFonts w:hint="default" w:ascii="Times New Roman" w:hAnsi="Times New Roman" w:eastAsia="宋体" w:cs="Times New Roman"/>
                <w:kern w:val="0"/>
                <w:sz w:val="21"/>
                <w:szCs w:val="21"/>
              </w:rPr>
            </w:pPr>
          </w:p>
        </w:tc>
        <w:tc>
          <w:tcPr>
            <w:tcW w:w="1334" w:type="dxa"/>
            <w:tcBorders>
              <w:top w:val="single" w:color="auto" w:sz="8" w:space="0"/>
            </w:tcBorders>
            <w:shd w:val="clear" w:color="auto" w:fill="auto"/>
            <w:vAlign w:val="center"/>
          </w:tcPr>
          <w:p w14:paraId="775B986D">
            <w:pPr>
              <w:pStyle w:val="76"/>
              <w:rPr>
                <w:rFonts w:hint="default" w:ascii="Times New Roman" w:hAnsi="Times New Roman" w:eastAsia="宋体" w:cs="Times New Roman"/>
                <w:kern w:val="0"/>
                <w:sz w:val="21"/>
                <w:szCs w:val="21"/>
              </w:rPr>
            </w:pPr>
          </w:p>
        </w:tc>
      </w:tr>
      <w:tr w14:paraId="017848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1" w:type="dxa"/>
            <w:shd w:val="clear" w:color="auto" w:fill="auto"/>
            <w:vAlign w:val="center"/>
          </w:tcPr>
          <w:p w14:paraId="0D06E9A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1333" w:type="dxa"/>
            <w:vAlign w:val="center"/>
          </w:tcPr>
          <w:p w14:paraId="045145C6">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是（）否（）</w:t>
            </w:r>
          </w:p>
        </w:tc>
        <w:tc>
          <w:tcPr>
            <w:tcW w:w="1334" w:type="dxa"/>
            <w:vAlign w:val="center"/>
          </w:tcPr>
          <w:p w14:paraId="3D5A2189">
            <w:pPr>
              <w:pStyle w:val="76"/>
              <w:rPr>
                <w:rFonts w:hint="default" w:ascii="Times New Roman" w:hAnsi="Times New Roman" w:eastAsia="宋体" w:cs="Times New Roman"/>
                <w:kern w:val="0"/>
                <w:sz w:val="21"/>
                <w:szCs w:val="21"/>
              </w:rPr>
            </w:pPr>
          </w:p>
        </w:tc>
        <w:tc>
          <w:tcPr>
            <w:tcW w:w="1334" w:type="dxa"/>
            <w:shd w:val="clear" w:color="auto" w:fill="auto"/>
            <w:vAlign w:val="center"/>
          </w:tcPr>
          <w:p w14:paraId="3E27F563">
            <w:pPr>
              <w:pStyle w:val="76"/>
              <w:rPr>
                <w:rFonts w:hint="default" w:ascii="Times New Roman" w:hAnsi="Times New Roman" w:eastAsia="宋体" w:cs="Times New Roman"/>
                <w:kern w:val="0"/>
                <w:sz w:val="21"/>
                <w:szCs w:val="21"/>
              </w:rPr>
            </w:pPr>
          </w:p>
        </w:tc>
        <w:tc>
          <w:tcPr>
            <w:tcW w:w="1334" w:type="dxa"/>
            <w:shd w:val="clear" w:color="auto" w:fill="auto"/>
            <w:vAlign w:val="center"/>
          </w:tcPr>
          <w:p w14:paraId="1DFDA81D">
            <w:pPr>
              <w:pStyle w:val="76"/>
              <w:rPr>
                <w:rFonts w:hint="default" w:ascii="Times New Roman" w:hAnsi="Times New Roman" w:eastAsia="宋体" w:cs="Times New Roman"/>
                <w:kern w:val="0"/>
                <w:sz w:val="21"/>
                <w:szCs w:val="21"/>
              </w:rPr>
            </w:pPr>
          </w:p>
        </w:tc>
        <w:tc>
          <w:tcPr>
            <w:tcW w:w="1334" w:type="dxa"/>
            <w:shd w:val="clear" w:color="auto" w:fill="auto"/>
            <w:vAlign w:val="center"/>
          </w:tcPr>
          <w:p w14:paraId="27272F83">
            <w:pPr>
              <w:pStyle w:val="76"/>
              <w:rPr>
                <w:rFonts w:hint="default" w:ascii="Times New Roman" w:hAnsi="Times New Roman" w:eastAsia="宋体" w:cs="Times New Roman"/>
                <w:kern w:val="0"/>
                <w:sz w:val="21"/>
                <w:szCs w:val="21"/>
              </w:rPr>
            </w:pPr>
          </w:p>
        </w:tc>
        <w:tc>
          <w:tcPr>
            <w:tcW w:w="1334" w:type="dxa"/>
            <w:shd w:val="clear" w:color="auto" w:fill="auto"/>
            <w:vAlign w:val="center"/>
          </w:tcPr>
          <w:p w14:paraId="2556794D">
            <w:pPr>
              <w:pStyle w:val="76"/>
              <w:rPr>
                <w:rFonts w:hint="default" w:ascii="Times New Roman" w:hAnsi="Times New Roman" w:eastAsia="宋体" w:cs="Times New Roman"/>
                <w:kern w:val="0"/>
                <w:sz w:val="21"/>
                <w:szCs w:val="21"/>
              </w:rPr>
            </w:pPr>
          </w:p>
        </w:tc>
      </w:tr>
      <w:tr w14:paraId="3F713C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1" w:type="dxa"/>
            <w:shd w:val="clear" w:color="auto" w:fill="auto"/>
            <w:vAlign w:val="center"/>
          </w:tcPr>
          <w:p w14:paraId="7E72F21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333" w:type="dxa"/>
            <w:vAlign w:val="center"/>
          </w:tcPr>
          <w:p w14:paraId="241B8348">
            <w:pPr>
              <w:pStyle w:val="76"/>
              <w:rPr>
                <w:rFonts w:hint="default" w:ascii="Times New Roman" w:hAnsi="Times New Roman" w:eastAsia="宋体" w:cs="Times New Roman"/>
                <w:kern w:val="0"/>
                <w:sz w:val="21"/>
                <w:szCs w:val="21"/>
              </w:rPr>
            </w:pPr>
          </w:p>
        </w:tc>
        <w:tc>
          <w:tcPr>
            <w:tcW w:w="1334" w:type="dxa"/>
            <w:vAlign w:val="center"/>
          </w:tcPr>
          <w:p w14:paraId="3FEAF6EC">
            <w:pPr>
              <w:pStyle w:val="76"/>
              <w:rPr>
                <w:rFonts w:hint="default" w:ascii="Times New Roman" w:hAnsi="Times New Roman" w:eastAsia="宋体" w:cs="Times New Roman"/>
                <w:kern w:val="0"/>
                <w:sz w:val="21"/>
                <w:szCs w:val="21"/>
              </w:rPr>
            </w:pPr>
          </w:p>
        </w:tc>
        <w:tc>
          <w:tcPr>
            <w:tcW w:w="1334" w:type="dxa"/>
            <w:shd w:val="clear" w:color="auto" w:fill="auto"/>
            <w:vAlign w:val="center"/>
          </w:tcPr>
          <w:p w14:paraId="7CEF914E">
            <w:pPr>
              <w:pStyle w:val="76"/>
              <w:rPr>
                <w:rFonts w:hint="default" w:ascii="Times New Roman" w:hAnsi="Times New Roman" w:eastAsia="宋体" w:cs="Times New Roman"/>
                <w:kern w:val="0"/>
                <w:sz w:val="21"/>
                <w:szCs w:val="21"/>
              </w:rPr>
            </w:pPr>
          </w:p>
        </w:tc>
        <w:tc>
          <w:tcPr>
            <w:tcW w:w="1334" w:type="dxa"/>
            <w:shd w:val="clear" w:color="auto" w:fill="auto"/>
            <w:vAlign w:val="center"/>
          </w:tcPr>
          <w:p w14:paraId="0DA658BF">
            <w:pPr>
              <w:pStyle w:val="76"/>
              <w:rPr>
                <w:rFonts w:hint="default" w:ascii="Times New Roman" w:hAnsi="Times New Roman" w:eastAsia="宋体" w:cs="Times New Roman"/>
                <w:kern w:val="0"/>
                <w:sz w:val="21"/>
                <w:szCs w:val="21"/>
              </w:rPr>
            </w:pPr>
          </w:p>
        </w:tc>
        <w:tc>
          <w:tcPr>
            <w:tcW w:w="1334" w:type="dxa"/>
            <w:shd w:val="clear" w:color="auto" w:fill="auto"/>
            <w:vAlign w:val="center"/>
          </w:tcPr>
          <w:p w14:paraId="41A75128">
            <w:pPr>
              <w:pStyle w:val="76"/>
              <w:rPr>
                <w:rFonts w:hint="default" w:ascii="Times New Roman" w:hAnsi="Times New Roman" w:eastAsia="宋体" w:cs="Times New Roman"/>
                <w:kern w:val="0"/>
                <w:sz w:val="21"/>
                <w:szCs w:val="21"/>
              </w:rPr>
            </w:pPr>
          </w:p>
        </w:tc>
        <w:tc>
          <w:tcPr>
            <w:tcW w:w="1334" w:type="dxa"/>
            <w:shd w:val="clear" w:color="auto" w:fill="auto"/>
            <w:vAlign w:val="center"/>
          </w:tcPr>
          <w:p w14:paraId="4AE14718">
            <w:pPr>
              <w:pStyle w:val="76"/>
              <w:rPr>
                <w:rFonts w:hint="default" w:ascii="Times New Roman" w:hAnsi="Times New Roman" w:eastAsia="宋体" w:cs="Times New Roman"/>
                <w:kern w:val="0"/>
                <w:sz w:val="21"/>
                <w:szCs w:val="21"/>
              </w:rPr>
            </w:pPr>
          </w:p>
        </w:tc>
      </w:tr>
      <w:tr w14:paraId="6E4009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1" w:type="dxa"/>
            <w:shd w:val="clear" w:color="auto" w:fill="auto"/>
            <w:vAlign w:val="center"/>
          </w:tcPr>
          <w:p w14:paraId="761FAAF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平均值</w:t>
            </w:r>
          </w:p>
        </w:tc>
        <w:tc>
          <w:tcPr>
            <w:tcW w:w="1333" w:type="dxa"/>
            <w:vAlign w:val="center"/>
          </w:tcPr>
          <w:p w14:paraId="56DF8D43">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334" w:type="dxa"/>
            <w:vAlign w:val="center"/>
          </w:tcPr>
          <w:p w14:paraId="53CD66E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334" w:type="dxa"/>
            <w:shd w:val="clear" w:color="auto" w:fill="auto"/>
            <w:vAlign w:val="center"/>
          </w:tcPr>
          <w:p w14:paraId="40FA83D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334" w:type="dxa"/>
            <w:shd w:val="clear" w:color="auto" w:fill="auto"/>
            <w:vAlign w:val="center"/>
          </w:tcPr>
          <w:p w14:paraId="659FD4A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334" w:type="dxa"/>
            <w:shd w:val="clear" w:color="auto" w:fill="auto"/>
            <w:vAlign w:val="center"/>
          </w:tcPr>
          <w:p w14:paraId="3FAEABF7">
            <w:pPr>
              <w:pStyle w:val="76"/>
              <w:rPr>
                <w:rFonts w:hint="default" w:ascii="Times New Roman" w:hAnsi="Times New Roman" w:eastAsia="宋体" w:cs="Times New Roman"/>
                <w:kern w:val="0"/>
                <w:sz w:val="21"/>
                <w:szCs w:val="21"/>
              </w:rPr>
            </w:pPr>
          </w:p>
        </w:tc>
        <w:tc>
          <w:tcPr>
            <w:tcW w:w="1334" w:type="dxa"/>
            <w:shd w:val="clear" w:color="auto" w:fill="auto"/>
            <w:vAlign w:val="center"/>
          </w:tcPr>
          <w:p w14:paraId="2B0808A2">
            <w:pPr>
              <w:pStyle w:val="76"/>
              <w:rPr>
                <w:rFonts w:hint="default" w:ascii="Times New Roman" w:hAnsi="Times New Roman" w:eastAsia="宋体" w:cs="Times New Roman"/>
                <w:kern w:val="0"/>
                <w:sz w:val="21"/>
                <w:szCs w:val="21"/>
              </w:rPr>
            </w:pPr>
          </w:p>
        </w:tc>
      </w:tr>
    </w:tbl>
    <w:p w14:paraId="4A395BEE">
      <w:pPr>
        <w:pStyle w:val="73"/>
        <w:ind w:firstLine="420"/>
      </w:pPr>
    </w:p>
    <w:p w14:paraId="491BC5BC">
      <w:pPr>
        <w:pStyle w:val="73"/>
        <w:ind w:firstLine="420"/>
      </w:pPr>
      <w:r>
        <w:rPr>
          <w:rFonts w:hint="eastAsia"/>
        </w:rPr>
        <w:t>钢平台系统刚度测试记录表见表</w:t>
      </w:r>
      <w:r>
        <w:rPr>
          <w:rFonts w:ascii="Times New Roman"/>
        </w:rPr>
        <w:t>A.</w:t>
      </w:r>
      <w:r>
        <w:rPr>
          <w:rFonts w:hint="eastAsia" w:ascii="Times New Roman"/>
        </w:rPr>
        <w:t>4</w:t>
      </w:r>
      <w:r>
        <w:rPr>
          <w:rFonts w:hint="eastAsia"/>
        </w:rPr>
        <w:t>。</w:t>
      </w:r>
    </w:p>
    <w:bookmarkEnd w:id="196"/>
    <w:bookmarkEnd w:id="197"/>
    <w:p w14:paraId="08C21495">
      <w:pPr>
        <w:pStyle w:val="75"/>
        <w:spacing w:before="156" w:after="156"/>
      </w:pPr>
      <w:bookmarkStart w:id="200" w:name="_Toc195545786"/>
      <w:r>
        <w:rPr>
          <w:rFonts w:hint="eastAsia"/>
        </w:rPr>
        <w:t>钢平台系统刚度测试记录表</w:t>
      </w:r>
      <w:bookmarkEnd w:id="200"/>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3"/>
        <w:gridCol w:w="736"/>
        <w:gridCol w:w="826"/>
        <w:gridCol w:w="826"/>
        <w:gridCol w:w="826"/>
        <w:gridCol w:w="826"/>
        <w:gridCol w:w="826"/>
        <w:gridCol w:w="826"/>
        <w:gridCol w:w="826"/>
        <w:gridCol w:w="825"/>
        <w:gridCol w:w="1224"/>
      </w:tblGrid>
      <w:tr w14:paraId="0835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2" w:type="pct"/>
            <w:vMerge w:val="restart"/>
            <w:tcBorders>
              <w:top w:val="single" w:color="auto" w:sz="8" w:space="0"/>
              <w:left w:val="single" w:color="auto" w:sz="8" w:space="0"/>
            </w:tcBorders>
            <w:shd w:val="clear" w:color="auto" w:fill="auto"/>
            <w:vAlign w:val="center"/>
          </w:tcPr>
          <w:p w14:paraId="5F74D50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序号</w:t>
            </w:r>
          </w:p>
        </w:tc>
        <w:tc>
          <w:tcPr>
            <w:tcW w:w="406" w:type="pct"/>
            <w:vMerge w:val="restart"/>
            <w:tcBorders>
              <w:top w:val="single" w:color="auto" w:sz="8" w:space="0"/>
            </w:tcBorders>
            <w:vAlign w:val="center"/>
          </w:tcPr>
          <w:p w14:paraId="201D8C8B">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位置</w:t>
            </w:r>
          </w:p>
        </w:tc>
        <w:tc>
          <w:tcPr>
            <w:tcW w:w="2735" w:type="pct"/>
            <w:gridSpan w:val="6"/>
            <w:tcBorders>
              <w:top w:val="single" w:color="auto" w:sz="8" w:space="0"/>
            </w:tcBorders>
            <w:vAlign w:val="center"/>
          </w:tcPr>
          <w:p w14:paraId="28A574E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变形值mm</w:t>
            </w:r>
          </w:p>
        </w:tc>
        <w:tc>
          <w:tcPr>
            <w:tcW w:w="456" w:type="pct"/>
            <w:vMerge w:val="restart"/>
            <w:tcBorders>
              <w:top w:val="single" w:color="auto" w:sz="8" w:space="0"/>
            </w:tcBorders>
            <w:shd w:val="clear" w:color="auto" w:fill="auto"/>
            <w:vAlign w:val="center"/>
          </w:tcPr>
          <w:p w14:paraId="6E82BBE6">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变形限值mm</w:t>
            </w:r>
          </w:p>
        </w:tc>
        <w:tc>
          <w:tcPr>
            <w:tcW w:w="455" w:type="pct"/>
            <w:vMerge w:val="restart"/>
            <w:tcBorders>
              <w:top w:val="single" w:color="auto" w:sz="8" w:space="0"/>
            </w:tcBorders>
            <w:shd w:val="clear" w:color="auto" w:fill="auto"/>
            <w:vAlign w:val="center"/>
          </w:tcPr>
          <w:p w14:paraId="286F5BAB">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挠度是否满足要求</w:t>
            </w:r>
          </w:p>
        </w:tc>
        <w:tc>
          <w:tcPr>
            <w:tcW w:w="676" w:type="pct"/>
            <w:vMerge w:val="restart"/>
            <w:tcBorders>
              <w:top w:val="single" w:color="auto" w:sz="8" w:space="0"/>
              <w:right w:val="single" w:color="auto" w:sz="8" w:space="0"/>
            </w:tcBorders>
            <w:shd w:val="clear" w:color="auto" w:fill="auto"/>
            <w:vAlign w:val="center"/>
          </w:tcPr>
          <w:p w14:paraId="531C855D">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备注</w:t>
            </w:r>
          </w:p>
        </w:tc>
      </w:tr>
      <w:tr w14:paraId="2BBF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4" w:hRule="atLeast"/>
          <w:jc w:val="center"/>
        </w:trPr>
        <w:tc>
          <w:tcPr>
            <w:tcW w:w="272" w:type="pct"/>
            <w:vMerge w:val="continue"/>
            <w:tcBorders>
              <w:left w:val="single" w:color="auto" w:sz="8" w:space="0"/>
              <w:bottom w:val="single" w:color="auto" w:sz="8" w:space="0"/>
            </w:tcBorders>
            <w:shd w:val="clear" w:color="auto" w:fill="auto"/>
            <w:vAlign w:val="center"/>
          </w:tcPr>
          <w:p w14:paraId="78AFD944">
            <w:pPr>
              <w:pStyle w:val="76"/>
              <w:rPr>
                <w:rFonts w:hint="default" w:ascii="Times New Roman" w:hAnsi="Times New Roman" w:eastAsia="宋体" w:cs="Times New Roman"/>
                <w:kern w:val="0"/>
                <w:sz w:val="21"/>
                <w:szCs w:val="21"/>
              </w:rPr>
            </w:pPr>
          </w:p>
        </w:tc>
        <w:tc>
          <w:tcPr>
            <w:tcW w:w="406" w:type="pct"/>
            <w:vMerge w:val="continue"/>
            <w:tcBorders>
              <w:bottom w:val="single" w:color="auto" w:sz="8" w:space="0"/>
            </w:tcBorders>
            <w:vAlign w:val="center"/>
          </w:tcPr>
          <w:p w14:paraId="0D2F0EAD">
            <w:pPr>
              <w:pStyle w:val="76"/>
              <w:rPr>
                <w:rFonts w:hint="default" w:ascii="Times New Roman" w:hAnsi="Times New Roman" w:eastAsia="宋体" w:cs="Times New Roman"/>
                <w:kern w:val="0"/>
                <w:sz w:val="21"/>
                <w:szCs w:val="21"/>
              </w:rPr>
            </w:pPr>
          </w:p>
        </w:tc>
        <w:tc>
          <w:tcPr>
            <w:tcW w:w="456" w:type="pct"/>
            <w:tcBorders>
              <w:bottom w:val="single" w:color="auto" w:sz="8" w:space="0"/>
            </w:tcBorders>
            <w:vAlign w:val="center"/>
          </w:tcPr>
          <w:p w14:paraId="6152B7D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第一级</w:t>
            </w:r>
          </w:p>
        </w:tc>
        <w:tc>
          <w:tcPr>
            <w:tcW w:w="456" w:type="pct"/>
            <w:tcBorders>
              <w:bottom w:val="single" w:color="auto" w:sz="8" w:space="0"/>
            </w:tcBorders>
            <w:vAlign w:val="center"/>
          </w:tcPr>
          <w:p w14:paraId="3D62DD3D">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第二级</w:t>
            </w:r>
          </w:p>
        </w:tc>
        <w:tc>
          <w:tcPr>
            <w:tcW w:w="456" w:type="pct"/>
            <w:tcBorders>
              <w:bottom w:val="single" w:color="auto" w:sz="8" w:space="0"/>
            </w:tcBorders>
            <w:vAlign w:val="center"/>
          </w:tcPr>
          <w:p w14:paraId="14CE40D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第三级</w:t>
            </w:r>
          </w:p>
        </w:tc>
        <w:tc>
          <w:tcPr>
            <w:tcW w:w="456" w:type="pct"/>
            <w:tcBorders>
              <w:bottom w:val="single" w:color="auto" w:sz="8" w:space="0"/>
            </w:tcBorders>
            <w:shd w:val="clear" w:color="auto" w:fill="auto"/>
            <w:vAlign w:val="center"/>
          </w:tcPr>
          <w:p w14:paraId="479AE74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第四级</w:t>
            </w:r>
          </w:p>
        </w:tc>
        <w:tc>
          <w:tcPr>
            <w:tcW w:w="456" w:type="pct"/>
            <w:tcBorders>
              <w:bottom w:val="single" w:color="auto" w:sz="8" w:space="0"/>
            </w:tcBorders>
            <w:shd w:val="clear" w:color="auto" w:fill="auto"/>
            <w:vAlign w:val="center"/>
          </w:tcPr>
          <w:p w14:paraId="1CA760D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456" w:type="pct"/>
            <w:tcBorders>
              <w:bottom w:val="single" w:color="auto" w:sz="8" w:space="0"/>
            </w:tcBorders>
            <w:shd w:val="clear" w:color="auto" w:fill="auto"/>
            <w:vAlign w:val="center"/>
          </w:tcPr>
          <w:p w14:paraId="5C3AEDF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最后一级</w:t>
            </w:r>
          </w:p>
        </w:tc>
        <w:tc>
          <w:tcPr>
            <w:tcW w:w="456" w:type="pct"/>
            <w:vMerge w:val="continue"/>
            <w:tcBorders>
              <w:bottom w:val="single" w:color="auto" w:sz="8" w:space="0"/>
            </w:tcBorders>
            <w:shd w:val="clear" w:color="auto" w:fill="auto"/>
            <w:vAlign w:val="center"/>
          </w:tcPr>
          <w:p w14:paraId="5BC84970">
            <w:pPr>
              <w:pStyle w:val="76"/>
              <w:rPr>
                <w:rFonts w:hint="default" w:ascii="Times New Roman" w:hAnsi="Times New Roman" w:eastAsia="宋体" w:cs="Times New Roman"/>
                <w:kern w:val="0"/>
                <w:sz w:val="21"/>
                <w:szCs w:val="21"/>
              </w:rPr>
            </w:pPr>
          </w:p>
        </w:tc>
        <w:tc>
          <w:tcPr>
            <w:tcW w:w="455" w:type="pct"/>
            <w:vMerge w:val="continue"/>
            <w:tcBorders>
              <w:bottom w:val="single" w:color="auto" w:sz="8" w:space="0"/>
            </w:tcBorders>
            <w:shd w:val="clear" w:color="auto" w:fill="auto"/>
            <w:vAlign w:val="center"/>
          </w:tcPr>
          <w:p w14:paraId="2DB641AE">
            <w:pPr>
              <w:pStyle w:val="76"/>
              <w:rPr>
                <w:rFonts w:hint="default" w:ascii="Times New Roman" w:hAnsi="Times New Roman" w:eastAsia="宋体" w:cs="Times New Roman"/>
                <w:kern w:val="0"/>
                <w:sz w:val="21"/>
                <w:szCs w:val="21"/>
              </w:rPr>
            </w:pPr>
          </w:p>
        </w:tc>
        <w:tc>
          <w:tcPr>
            <w:tcW w:w="676" w:type="pct"/>
            <w:vMerge w:val="continue"/>
            <w:tcBorders>
              <w:bottom w:val="single" w:color="auto" w:sz="8" w:space="0"/>
              <w:right w:val="single" w:color="auto" w:sz="8" w:space="0"/>
            </w:tcBorders>
            <w:shd w:val="clear" w:color="auto" w:fill="auto"/>
            <w:vAlign w:val="center"/>
          </w:tcPr>
          <w:p w14:paraId="44026A95">
            <w:pPr>
              <w:pStyle w:val="76"/>
              <w:rPr>
                <w:rFonts w:hint="default" w:ascii="Times New Roman" w:hAnsi="Times New Roman" w:eastAsia="宋体" w:cs="Times New Roman"/>
                <w:kern w:val="0"/>
                <w:sz w:val="21"/>
                <w:szCs w:val="21"/>
              </w:rPr>
            </w:pPr>
          </w:p>
        </w:tc>
      </w:tr>
      <w:tr w14:paraId="0EE8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2" w:type="pct"/>
            <w:tcBorders>
              <w:top w:val="single" w:color="auto" w:sz="8" w:space="0"/>
              <w:left w:val="single" w:color="auto" w:sz="8" w:space="0"/>
            </w:tcBorders>
            <w:shd w:val="clear" w:color="auto" w:fill="auto"/>
            <w:vAlign w:val="center"/>
          </w:tcPr>
          <w:p w14:paraId="70EBD00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406" w:type="pct"/>
            <w:tcBorders>
              <w:top w:val="single" w:color="auto" w:sz="8" w:space="0"/>
            </w:tcBorders>
          </w:tcPr>
          <w:p w14:paraId="219780B2">
            <w:pPr>
              <w:pStyle w:val="76"/>
              <w:rPr>
                <w:rFonts w:hint="default" w:ascii="Times New Roman" w:hAnsi="Times New Roman" w:eastAsia="宋体" w:cs="Times New Roman"/>
                <w:kern w:val="0"/>
                <w:sz w:val="21"/>
                <w:szCs w:val="21"/>
              </w:rPr>
            </w:pPr>
          </w:p>
        </w:tc>
        <w:tc>
          <w:tcPr>
            <w:tcW w:w="456" w:type="pct"/>
            <w:tcBorders>
              <w:top w:val="single" w:color="auto" w:sz="8" w:space="0"/>
            </w:tcBorders>
          </w:tcPr>
          <w:p w14:paraId="4C30E755">
            <w:pPr>
              <w:pStyle w:val="76"/>
              <w:rPr>
                <w:rFonts w:hint="default" w:ascii="Times New Roman" w:hAnsi="Times New Roman" w:eastAsia="宋体" w:cs="Times New Roman"/>
                <w:kern w:val="0"/>
                <w:sz w:val="21"/>
                <w:szCs w:val="21"/>
              </w:rPr>
            </w:pPr>
          </w:p>
        </w:tc>
        <w:tc>
          <w:tcPr>
            <w:tcW w:w="456" w:type="pct"/>
            <w:tcBorders>
              <w:top w:val="single" w:color="auto" w:sz="8" w:space="0"/>
            </w:tcBorders>
          </w:tcPr>
          <w:p w14:paraId="0B278A57">
            <w:pPr>
              <w:pStyle w:val="76"/>
              <w:rPr>
                <w:rFonts w:hint="default" w:ascii="Times New Roman" w:hAnsi="Times New Roman" w:eastAsia="宋体" w:cs="Times New Roman"/>
                <w:kern w:val="0"/>
                <w:sz w:val="21"/>
                <w:szCs w:val="21"/>
              </w:rPr>
            </w:pPr>
          </w:p>
        </w:tc>
        <w:tc>
          <w:tcPr>
            <w:tcW w:w="456" w:type="pct"/>
            <w:tcBorders>
              <w:top w:val="single" w:color="auto" w:sz="8" w:space="0"/>
            </w:tcBorders>
          </w:tcPr>
          <w:p w14:paraId="06F2D2A6">
            <w:pPr>
              <w:pStyle w:val="76"/>
              <w:rPr>
                <w:rFonts w:hint="default" w:ascii="Times New Roman" w:hAnsi="Times New Roman" w:eastAsia="宋体" w:cs="Times New Roman"/>
                <w:kern w:val="0"/>
                <w:sz w:val="21"/>
                <w:szCs w:val="21"/>
              </w:rPr>
            </w:pPr>
          </w:p>
        </w:tc>
        <w:tc>
          <w:tcPr>
            <w:tcW w:w="456" w:type="pct"/>
            <w:tcBorders>
              <w:top w:val="single" w:color="auto" w:sz="8" w:space="0"/>
            </w:tcBorders>
            <w:shd w:val="clear" w:color="auto" w:fill="auto"/>
            <w:vAlign w:val="center"/>
          </w:tcPr>
          <w:p w14:paraId="2C87CFC5">
            <w:pPr>
              <w:pStyle w:val="76"/>
              <w:rPr>
                <w:rFonts w:hint="default" w:ascii="Times New Roman" w:hAnsi="Times New Roman" w:eastAsia="宋体" w:cs="Times New Roman"/>
                <w:kern w:val="0"/>
                <w:sz w:val="21"/>
                <w:szCs w:val="21"/>
              </w:rPr>
            </w:pPr>
          </w:p>
        </w:tc>
        <w:tc>
          <w:tcPr>
            <w:tcW w:w="456" w:type="pct"/>
            <w:tcBorders>
              <w:top w:val="single" w:color="auto" w:sz="8" w:space="0"/>
            </w:tcBorders>
            <w:shd w:val="clear" w:color="auto" w:fill="auto"/>
            <w:vAlign w:val="center"/>
          </w:tcPr>
          <w:p w14:paraId="713A8B82">
            <w:pPr>
              <w:pStyle w:val="76"/>
              <w:rPr>
                <w:rFonts w:hint="default" w:ascii="Times New Roman" w:hAnsi="Times New Roman" w:eastAsia="宋体" w:cs="Times New Roman"/>
                <w:kern w:val="0"/>
                <w:sz w:val="21"/>
                <w:szCs w:val="21"/>
              </w:rPr>
            </w:pPr>
          </w:p>
        </w:tc>
        <w:tc>
          <w:tcPr>
            <w:tcW w:w="456" w:type="pct"/>
            <w:tcBorders>
              <w:top w:val="single" w:color="auto" w:sz="8" w:space="0"/>
            </w:tcBorders>
            <w:shd w:val="clear" w:color="auto" w:fill="auto"/>
            <w:vAlign w:val="center"/>
          </w:tcPr>
          <w:p w14:paraId="6E06FD59">
            <w:pPr>
              <w:pStyle w:val="76"/>
              <w:rPr>
                <w:rFonts w:hint="default" w:ascii="Times New Roman" w:hAnsi="Times New Roman" w:eastAsia="宋体" w:cs="Times New Roman"/>
                <w:kern w:val="0"/>
                <w:sz w:val="21"/>
                <w:szCs w:val="21"/>
              </w:rPr>
            </w:pPr>
          </w:p>
        </w:tc>
        <w:tc>
          <w:tcPr>
            <w:tcW w:w="456" w:type="pct"/>
            <w:tcBorders>
              <w:top w:val="single" w:color="auto" w:sz="8" w:space="0"/>
            </w:tcBorders>
            <w:shd w:val="clear" w:color="auto" w:fill="auto"/>
            <w:vAlign w:val="center"/>
          </w:tcPr>
          <w:p w14:paraId="1D323ABE">
            <w:pPr>
              <w:pStyle w:val="76"/>
              <w:rPr>
                <w:rFonts w:hint="default" w:ascii="Times New Roman" w:hAnsi="Times New Roman" w:eastAsia="宋体" w:cs="Times New Roman"/>
                <w:kern w:val="0"/>
                <w:sz w:val="21"/>
                <w:szCs w:val="21"/>
              </w:rPr>
            </w:pPr>
          </w:p>
        </w:tc>
        <w:tc>
          <w:tcPr>
            <w:tcW w:w="455" w:type="pct"/>
            <w:tcBorders>
              <w:top w:val="single" w:color="auto" w:sz="8" w:space="0"/>
            </w:tcBorders>
            <w:shd w:val="clear" w:color="auto" w:fill="auto"/>
            <w:vAlign w:val="center"/>
          </w:tcPr>
          <w:p w14:paraId="2B0444CB">
            <w:pPr>
              <w:pStyle w:val="76"/>
              <w:rPr>
                <w:rFonts w:hint="default" w:ascii="Times New Roman" w:hAnsi="Times New Roman" w:eastAsia="宋体" w:cs="Times New Roman"/>
                <w:kern w:val="0"/>
                <w:sz w:val="21"/>
                <w:szCs w:val="21"/>
              </w:rPr>
            </w:pPr>
          </w:p>
        </w:tc>
        <w:tc>
          <w:tcPr>
            <w:tcW w:w="676" w:type="pct"/>
            <w:tcBorders>
              <w:top w:val="single" w:color="auto" w:sz="8" w:space="0"/>
              <w:right w:val="single" w:color="auto" w:sz="8" w:space="0"/>
            </w:tcBorders>
            <w:shd w:val="clear" w:color="auto" w:fill="auto"/>
            <w:vAlign w:val="center"/>
          </w:tcPr>
          <w:p w14:paraId="5DCFFB4F">
            <w:pPr>
              <w:pStyle w:val="76"/>
              <w:rPr>
                <w:rFonts w:hint="default" w:ascii="Times New Roman" w:hAnsi="Times New Roman" w:eastAsia="宋体" w:cs="Times New Roman"/>
                <w:kern w:val="0"/>
                <w:sz w:val="21"/>
                <w:szCs w:val="21"/>
              </w:rPr>
            </w:pPr>
          </w:p>
        </w:tc>
      </w:tr>
      <w:tr w14:paraId="573A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2" w:type="pct"/>
            <w:tcBorders>
              <w:left w:val="single" w:color="auto" w:sz="8" w:space="0"/>
            </w:tcBorders>
            <w:shd w:val="clear" w:color="auto" w:fill="auto"/>
            <w:vAlign w:val="center"/>
          </w:tcPr>
          <w:p w14:paraId="16A0C523">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406" w:type="pct"/>
          </w:tcPr>
          <w:p w14:paraId="30B78032">
            <w:pPr>
              <w:pStyle w:val="76"/>
              <w:rPr>
                <w:rFonts w:hint="default" w:ascii="Times New Roman" w:hAnsi="Times New Roman" w:eastAsia="宋体" w:cs="Times New Roman"/>
                <w:kern w:val="0"/>
                <w:sz w:val="21"/>
                <w:szCs w:val="21"/>
              </w:rPr>
            </w:pPr>
          </w:p>
        </w:tc>
        <w:tc>
          <w:tcPr>
            <w:tcW w:w="456" w:type="pct"/>
          </w:tcPr>
          <w:p w14:paraId="0ABDC5A6">
            <w:pPr>
              <w:pStyle w:val="76"/>
              <w:rPr>
                <w:rFonts w:hint="default" w:ascii="Times New Roman" w:hAnsi="Times New Roman" w:eastAsia="宋体" w:cs="Times New Roman"/>
                <w:kern w:val="0"/>
                <w:sz w:val="21"/>
                <w:szCs w:val="21"/>
              </w:rPr>
            </w:pPr>
          </w:p>
        </w:tc>
        <w:tc>
          <w:tcPr>
            <w:tcW w:w="456" w:type="pct"/>
          </w:tcPr>
          <w:p w14:paraId="2D542FB9">
            <w:pPr>
              <w:pStyle w:val="76"/>
              <w:rPr>
                <w:rFonts w:hint="default" w:ascii="Times New Roman" w:hAnsi="Times New Roman" w:eastAsia="宋体" w:cs="Times New Roman"/>
                <w:kern w:val="0"/>
                <w:sz w:val="21"/>
                <w:szCs w:val="21"/>
              </w:rPr>
            </w:pPr>
          </w:p>
        </w:tc>
        <w:tc>
          <w:tcPr>
            <w:tcW w:w="456" w:type="pct"/>
          </w:tcPr>
          <w:p w14:paraId="11B78B73">
            <w:pPr>
              <w:pStyle w:val="76"/>
              <w:rPr>
                <w:rFonts w:hint="default" w:ascii="Times New Roman" w:hAnsi="Times New Roman" w:eastAsia="宋体" w:cs="Times New Roman"/>
                <w:kern w:val="0"/>
                <w:sz w:val="21"/>
                <w:szCs w:val="21"/>
              </w:rPr>
            </w:pPr>
          </w:p>
        </w:tc>
        <w:tc>
          <w:tcPr>
            <w:tcW w:w="456" w:type="pct"/>
            <w:shd w:val="clear" w:color="auto" w:fill="auto"/>
            <w:vAlign w:val="center"/>
          </w:tcPr>
          <w:p w14:paraId="496D79F1">
            <w:pPr>
              <w:pStyle w:val="76"/>
              <w:rPr>
                <w:rFonts w:hint="default" w:ascii="Times New Roman" w:hAnsi="Times New Roman" w:eastAsia="宋体" w:cs="Times New Roman"/>
                <w:kern w:val="0"/>
                <w:sz w:val="21"/>
                <w:szCs w:val="21"/>
              </w:rPr>
            </w:pPr>
          </w:p>
        </w:tc>
        <w:tc>
          <w:tcPr>
            <w:tcW w:w="456" w:type="pct"/>
            <w:shd w:val="clear" w:color="auto" w:fill="auto"/>
            <w:vAlign w:val="center"/>
          </w:tcPr>
          <w:p w14:paraId="07EBF11D">
            <w:pPr>
              <w:pStyle w:val="76"/>
              <w:rPr>
                <w:rFonts w:hint="default" w:ascii="Times New Roman" w:hAnsi="Times New Roman" w:eastAsia="宋体" w:cs="Times New Roman"/>
                <w:kern w:val="0"/>
                <w:sz w:val="21"/>
                <w:szCs w:val="21"/>
              </w:rPr>
            </w:pPr>
          </w:p>
        </w:tc>
        <w:tc>
          <w:tcPr>
            <w:tcW w:w="456" w:type="pct"/>
            <w:shd w:val="clear" w:color="auto" w:fill="auto"/>
            <w:vAlign w:val="center"/>
          </w:tcPr>
          <w:p w14:paraId="018DA1DB">
            <w:pPr>
              <w:pStyle w:val="76"/>
              <w:rPr>
                <w:rFonts w:hint="default" w:ascii="Times New Roman" w:hAnsi="Times New Roman" w:eastAsia="宋体" w:cs="Times New Roman"/>
                <w:kern w:val="0"/>
                <w:sz w:val="21"/>
                <w:szCs w:val="21"/>
              </w:rPr>
            </w:pPr>
          </w:p>
        </w:tc>
        <w:tc>
          <w:tcPr>
            <w:tcW w:w="456" w:type="pct"/>
            <w:shd w:val="clear" w:color="auto" w:fill="auto"/>
            <w:vAlign w:val="center"/>
          </w:tcPr>
          <w:p w14:paraId="31870A81">
            <w:pPr>
              <w:pStyle w:val="76"/>
              <w:rPr>
                <w:rFonts w:hint="default" w:ascii="Times New Roman" w:hAnsi="Times New Roman" w:eastAsia="宋体" w:cs="Times New Roman"/>
                <w:kern w:val="0"/>
                <w:sz w:val="21"/>
                <w:szCs w:val="21"/>
              </w:rPr>
            </w:pPr>
          </w:p>
        </w:tc>
        <w:tc>
          <w:tcPr>
            <w:tcW w:w="455" w:type="pct"/>
            <w:shd w:val="clear" w:color="auto" w:fill="auto"/>
            <w:vAlign w:val="center"/>
          </w:tcPr>
          <w:p w14:paraId="24AAB655">
            <w:pPr>
              <w:pStyle w:val="76"/>
              <w:rPr>
                <w:rFonts w:hint="default" w:ascii="Times New Roman" w:hAnsi="Times New Roman" w:eastAsia="宋体" w:cs="Times New Roman"/>
                <w:kern w:val="0"/>
                <w:sz w:val="21"/>
                <w:szCs w:val="21"/>
              </w:rPr>
            </w:pPr>
          </w:p>
        </w:tc>
        <w:tc>
          <w:tcPr>
            <w:tcW w:w="676" w:type="pct"/>
            <w:tcBorders>
              <w:right w:val="single" w:color="auto" w:sz="8" w:space="0"/>
            </w:tcBorders>
            <w:shd w:val="clear" w:color="auto" w:fill="auto"/>
            <w:vAlign w:val="center"/>
          </w:tcPr>
          <w:p w14:paraId="44219416">
            <w:pPr>
              <w:pStyle w:val="76"/>
              <w:rPr>
                <w:rFonts w:hint="default" w:ascii="Times New Roman" w:hAnsi="Times New Roman" w:eastAsia="宋体" w:cs="Times New Roman"/>
                <w:kern w:val="0"/>
                <w:sz w:val="21"/>
                <w:szCs w:val="21"/>
              </w:rPr>
            </w:pPr>
          </w:p>
        </w:tc>
      </w:tr>
      <w:tr w14:paraId="0397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2" w:type="pct"/>
            <w:tcBorders>
              <w:left w:val="single" w:color="auto" w:sz="8" w:space="0"/>
              <w:bottom w:val="single" w:color="auto" w:sz="8" w:space="0"/>
            </w:tcBorders>
            <w:shd w:val="clear" w:color="auto" w:fill="auto"/>
            <w:vAlign w:val="center"/>
          </w:tcPr>
          <w:p w14:paraId="0B36260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406" w:type="pct"/>
            <w:tcBorders>
              <w:bottom w:val="single" w:color="auto" w:sz="8" w:space="0"/>
            </w:tcBorders>
          </w:tcPr>
          <w:p w14:paraId="375C82D3">
            <w:pPr>
              <w:pStyle w:val="76"/>
              <w:rPr>
                <w:rFonts w:hint="default" w:ascii="Times New Roman" w:hAnsi="Times New Roman" w:eastAsia="宋体" w:cs="Times New Roman"/>
                <w:kern w:val="0"/>
                <w:sz w:val="21"/>
                <w:szCs w:val="21"/>
              </w:rPr>
            </w:pPr>
          </w:p>
        </w:tc>
        <w:tc>
          <w:tcPr>
            <w:tcW w:w="456" w:type="pct"/>
            <w:tcBorders>
              <w:bottom w:val="single" w:color="auto" w:sz="8" w:space="0"/>
            </w:tcBorders>
          </w:tcPr>
          <w:p w14:paraId="7313B4A9">
            <w:pPr>
              <w:pStyle w:val="76"/>
              <w:rPr>
                <w:rFonts w:hint="default" w:ascii="Times New Roman" w:hAnsi="Times New Roman" w:eastAsia="宋体" w:cs="Times New Roman"/>
                <w:kern w:val="0"/>
                <w:sz w:val="21"/>
                <w:szCs w:val="21"/>
              </w:rPr>
            </w:pPr>
          </w:p>
        </w:tc>
        <w:tc>
          <w:tcPr>
            <w:tcW w:w="456" w:type="pct"/>
            <w:tcBorders>
              <w:bottom w:val="single" w:color="auto" w:sz="8" w:space="0"/>
            </w:tcBorders>
          </w:tcPr>
          <w:p w14:paraId="5606B9B2">
            <w:pPr>
              <w:pStyle w:val="76"/>
              <w:rPr>
                <w:rFonts w:hint="default" w:ascii="Times New Roman" w:hAnsi="Times New Roman" w:eastAsia="宋体" w:cs="Times New Roman"/>
                <w:kern w:val="0"/>
                <w:sz w:val="21"/>
                <w:szCs w:val="21"/>
              </w:rPr>
            </w:pPr>
          </w:p>
        </w:tc>
        <w:tc>
          <w:tcPr>
            <w:tcW w:w="456" w:type="pct"/>
            <w:tcBorders>
              <w:bottom w:val="single" w:color="auto" w:sz="8" w:space="0"/>
            </w:tcBorders>
          </w:tcPr>
          <w:p w14:paraId="5B0EB6B5">
            <w:pPr>
              <w:pStyle w:val="76"/>
              <w:rPr>
                <w:rFonts w:hint="default" w:ascii="Times New Roman" w:hAnsi="Times New Roman" w:eastAsia="宋体" w:cs="Times New Roman"/>
                <w:kern w:val="0"/>
                <w:sz w:val="21"/>
                <w:szCs w:val="21"/>
              </w:rPr>
            </w:pPr>
          </w:p>
        </w:tc>
        <w:tc>
          <w:tcPr>
            <w:tcW w:w="456" w:type="pct"/>
            <w:tcBorders>
              <w:bottom w:val="single" w:color="auto" w:sz="8" w:space="0"/>
            </w:tcBorders>
            <w:shd w:val="clear" w:color="auto" w:fill="auto"/>
            <w:vAlign w:val="center"/>
          </w:tcPr>
          <w:p w14:paraId="5E841DCF">
            <w:pPr>
              <w:pStyle w:val="76"/>
              <w:rPr>
                <w:rFonts w:hint="default" w:ascii="Times New Roman" w:hAnsi="Times New Roman" w:eastAsia="宋体" w:cs="Times New Roman"/>
                <w:kern w:val="0"/>
                <w:sz w:val="21"/>
                <w:szCs w:val="21"/>
              </w:rPr>
            </w:pPr>
          </w:p>
        </w:tc>
        <w:tc>
          <w:tcPr>
            <w:tcW w:w="456" w:type="pct"/>
            <w:tcBorders>
              <w:bottom w:val="single" w:color="auto" w:sz="8" w:space="0"/>
            </w:tcBorders>
            <w:shd w:val="clear" w:color="auto" w:fill="auto"/>
            <w:vAlign w:val="center"/>
          </w:tcPr>
          <w:p w14:paraId="0D788929">
            <w:pPr>
              <w:pStyle w:val="76"/>
              <w:rPr>
                <w:rFonts w:hint="default" w:ascii="Times New Roman" w:hAnsi="Times New Roman" w:eastAsia="宋体" w:cs="Times New Roman"/>
                <w:kern w:val="0"/>
                <w:sz w:val="21"/>
                <w:szCs w:val="21"/>
              </w:rPr>
            </w:pPr>
          </w:p>
        </w:tc>
        <w:tc>
          <w:tcPr>
            <w:tcW w:w="456" w:type="pct"/>
            <w:tcBorders>
              <w:bottom w:val="single" w:color="auto" w:sz="8" w:space="0"/>
            </w:tcBorders>
            <w:shd w:val="clear" w:color="auto" w:fill="auto"/>
            <w:vAlign w:val="center"/>
          </w:tcPr>
          <w:p w14:paraId="6432A024">
            <w:pPr>
              <w:pStyle w:val="76"/>
              <w:rPr>
                <w:rFonts w:hint="default" w:ascii="Times New Roman" w:hAnsi="Times New Roman" w:eastAsia="宋体" w:cs="Times New Roman"/>
                <w:kern w:val="0"/>
                <w:sz w:val="21"/>
                <w:szCs w:val="21"/>
              </w:rPr>
            </w:pPr>
          </w:p>
        </w:tc>
        <w:tc>
          <w:tcPr>
            <w:tcW w:w="456" w:type="pct"/>
            <w:tcBorders>
              <w:bottom w:val="single" w:color="auto" w:sz="8" w:space="0"/>
            </w:tcBorders>
            <w:shd w:val="clear" w:color="auto" w:fill="auto"/>
            <w:vAlign w:val="center"/>
          </w:tcPr>
          <w:p w14:paraId="05367267">
            <w:pPr>
              <w:pStyle w:val="76"/>
              <w:rPr>
                <w:rFonts w:hint="default" w:ascii="Times New Roman" w:hAnsi="Times New Roman" w:eastAsia="宋体" w:cs="Times New Roman"/>
                <w:kern w:val="0"/>
                <w:sz w:val="21"/>
                <w:szCs w:val="21"/>
              </w:rPr>
            </w:pPr>
          </w:p>
        </w:tc>
        <w:tc>
          <w:tcPr>
            <w:tcW w:w="455" w:type="pct"/>
            <w:tcBorders>
              <w:bottom w:val="single" w:color="auto" w:sz="8" w:space="0"/>
            </w:tcBorders>
            <w:shd w:val="clear" w:color="auto" w:fill="auto"/>
            <w:vAlign w:val="center"/>
          </w:tcPr>
          <w:p w14:paraId="14CF8D6C">
            <w:pPr>
              <w:pStyle w:val="76"/>
              <w:rPr>
                <w:rFonts w:hint="default" w:ascii="Times New Roman" w:hAnsi="Times New Roman" w:eastAsia="宋体" w:cs="Times New Roman"/>
                <w:kern w:val="0"/>
                <w:sz w:val="21"/>
                <w:szCs w:val="21"/>
              </w:rPr>
            </w:pPr>
          </w:p>
        </w:tc>
        <w:tc>
          <w:tcPr>
            <w:tcW w:w="676" w:type="pct"/>
            <w:tcBorders>
              <w:bottom w:val="single" w:color="auto" w:sz="8" w:space="0"/>
              <w:right w:val="single" w:color="auto" w:sz="8" w:space="0"/>
            </w:tcBorders>
            <w:shd w:val="clear" w:color="auto" w:fill="auto"/>
            <w:vAlign w:val="center"/>
          </w:tcPr>
          <w:p w14:paraId="79711DF4">
            <w:pPr>
              <w:pStyle w:val="76"/>
              <w:rPr>
                <w:rFonts w:hint="default" w:ascii="Times New Roman" w:hAnsi="Times New Roman" w:eastAsia="宋体" w:cs="Times New Roman"/>
                <w:kern w:val="0"/>
                <w:sz w:val="21"/>
                <w:szCs w:val="21"/>
              </w:rPr>
            </w:pPr>
          </w:p>
        </w:tc>
      </w:tr>
    </w:tbl>
    <w:p w14:paraId="43E1EC78">
      <w:pPr>
        <w:pStyle w:val="73"/>
        <w:ind w:firstLine="420"/>
      </w:pPr>
    </w:p>
    <w:p w14:paraId="0E80C05C">
      <w:pPr>
        <w:pStyle w:val="73"/>
        <w:ind w:firstLine="420"/>
      </w:pPr>
      <w:r>
        <w:rPr>
          <w:rFonts w:hint="eastAsia"/>
        </w:rPr>
        <w:t>液压系统同步位移差值测试记录表见表</w:t>
      </w:r>
      <w:r>
        <w:rPr>
          <w:rFonts w:ascii="Times New Roman"/>
        </w:rPr>
        <w:t>A.</w:t>
      </w:r>
      <w:r>
        <w:rPr>
          <w:rFonts w:hint="eastAsia" w:ascii="Times New Roman"/>
        </w:rPr>
        <w:t>5</w:t>
      </w:r>
      <w:r>
        <w:rPr>
          <w:rFonts w:hint="eastAsia"/>
        </w:rPr>
        <w:t>。</w:t>
      </w:r>
    </w:p>
    <w:p w14:paraId="7AB63B15">
      <w:pPr>
        <w:pStyle w:val="75"/>
        <w:spacing w:before="156" w:after="156"/>
      </w:pPr>
      <w:bookmarkStart w:id="201" w:name="_Toc195545787"/>
      <w:r>
        <w:rPr>
          <w:rFonts w:hint="eastAsia"/>
        </w:rPr>
        <w:t>液压系统同步位移差值测试记录表</w:t>
      </w:r>
      <w:bookmarkEnd w:id="201"/>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07"/>
        <w:gridCol w:w="1509"/>
        <w:gridCol w:w="1510"/>
        <w:gridCol w:w="1508"/>
        <w:gridCol w:w="1510"/>
        <w:gridCol w:w="1506"/>
      </w:tblGrid>
      <w:tr w14:paraId="32C9C3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833" w:type="pct"/>
            <w:tcBorders>
              <w:top w:val="single" w:color="auto" w:sz="8" w:space="0"/>
              <w:bottom w:val="single" w:color="auto" w:sz="8" w:space="0"/>
            </w:tcBorders>
            <w:shd w:val="clear" w:color="auto" w:fill="auto"/>
            <w:vAlign w:val="center"/>
          </w:tcPr>
          <w:p w14:paraId="40E18574">
            <w:pPr>
              <w:pStyle w:val="76"/>
              <w:rPr>
                <w:rFonts w:hint="default" w:ascii="Times New Roman" w:hAnsi="Times New Roman" w:eastAsia="宋体" w:cs="Times New Roman"/>
                <w:kern w:val="0"/>
                <w:sz w:val="21"/>
                <w:szCs w:val="21"/>
              </w:rPr>
            </w:pPr>
            <w:bookmarkStart w:id="202" w:name="_Hlk195544195"/>
            <w:r>
              <w:rPr>
                <w:rFonts w:hint="default" w:ascii="Times New Roman" w:hAnsi="Times New Roman" w:eastAsia="宋体" w:cs="Times New Roman"/>
                <w:kern w:val="0"/>
                <w:sz w:val="21"/>
                <w:szCs w:val="21"/>
              </w:rPr>
              <w:t>项目</w:t>
            </w:r>
          </w:p>
        </w:tc>
        <w:tc>
          <w:tcPr>
            <w:tcW w:w="834" w:type="pct"/>
            <w:tcBorders>
              <w:top w:val="single" w:color="auto" w:sz="8" w:space="0"/>
              <w:bottom w:val="single" w:color="auto" w:sz="8" w:space="0"/>
            </w:tcBorders>
            <w:vAlign w:val="center"/>
          </w:tcPr>
          <w:p w14:paraId="26C9883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液压缸编号</w:t>
            </w:r>
          </w:p>
        </w:tc>
        <w:tc>
          <w:tcPr>
            <w:tcW w:w="834" w:type="pct"/>
            <w:tcBorders>
              <w:top w:val="single" w:color="auto" w:sz="8" w:space="0"/>
              <w:bottom w:val="single" w:color="auto" w:sz="8" w:space="0"/>
            </w:tcBorders>
          </w:tcPr>
          <w:p w14:paraId="1C7A5323">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计划顶升位移</w:t>
            </w:r>
          </w:p>
          <w:p w14:paraId="1BD413F3">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833" w:type="pct"/>
            <w:tcBorders>
              <w:top w:val="single" w:color="auto" w:sz="8" w:space="0"/>
              <w:bottom w:val="single" w:color="auto" w:sz="8" w:space="0"/>
            </w:tcBorders>
            <w:shd w:val="clear" w:color="auto" w:fill="auto"/>
            <w:vAlign w:val="center"/>
          </w:tcPr>
          <w:p w14:paraId="320E078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实测顶升位移</w:t>
            </w:r>
          </w:p>
          <w:p w14:paraId="5F438D0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834" w:type="pct"/>
            <w:tcBorders>
              <w:top w:val="single" w:color="auto" w:sz="8" w:space="0"/>
              <w:bottom w:val="single" w:color="auto" w:sz="8" w:space="0"/>
            </w:tcBorders>
            <w:shd w:val="clear" w:color="auto" w:fill="auto"/>
            <w:vAlign w:val="center"/>
          </w:tcPr>
          <w:p w14:paraId="3D85135D">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最大位移差值</w:t>
            </w:r>
          </w:p>
          <w:p w14:paraId="3544B2D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832" w:type="pct"/>
            <w:tcBorders>
              <w:top w:val="single" w:color="auto" w:sz="8" w:space="0"/>
              <w:bottom w:val="single" w:color="auto" w:sz="8" w:space="0"/>
            </w:tcBorders>
            <w:shd w:val="clear" w:color="auto" w:fill="auto"/>
            <w:vAlign w:val="center"/>
          </w:tcPr>
          <w:p w14:paraId="278EF7EB">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备注</w:t>
            </w:r>
          </w:p>
        </w:tc>
      </w:tr>
      <w:tr w14:paraId="5811C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33" w:type="pct"/>
            <w:vMerge w:val="restart"/>
            <w:tcBorders>
              <w:top w:val="single" w:color="auto" w:sz="8" w:space="0"/>
            </w:tcBorders>
            <w:shd w:val="clear" w:color="auto" w:fill="auto"/>
            <w:vAlign w:val="center"/>
          </w:tcPr>
          <w:p w14:paraId="015314D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第一次测试</w:t>
            </w:r>
          </w:p>
        </w:tc>
        <w:tc>
          <w:tcPr>
            <w:tcW w:w="834" w:type="pct"/>
            <w:tcBorders>
              <w:top w:val="single" w:color="auto" w:sz="8" w:space="0"/>
            </w:tcBorders>
            <w:vAlign w:val="center"/>
          </w:tcPr>
          <w:p w14:paraId="6B521E64">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834" w:type="pct"/>
            <w:vMerge w:val="restart"/>
            <w:tcBorders>
              <w:top w:val="single" w:color="auto" w:sz="8" w:space="0"/>
            </w:tcBorders>
          </w:tcPr>
          <w:p w14:paraId="4864D053">
            <w:pPr>
              <w:pStyle w:val="76"/>
              <w:rPr>
                <w:rFonts w:hint="default" w:ascii="Times New Roman" w:hAnsi="Times New Roman" w:eastAsia="宋体" w:cs="Times New Roman"/>
                <w:kern w:val="0"/>
                <w:sz w:val="21"/>
                <w:szCs w:val="21"/>
              </w:rPr>
            </w:pPr>
          </w:p>
        </w:tc>
        <w:tc>
          <w:tcPr>
            <w:tcW w:w="833" w:type="pct"/>
            <w:tcBorders>
              <w:top w:val="single" w:color="auto" w:sz="8" w:space="0"/>
            </w:tcBorders>
            <w:shd w:val="clear" w:color="auto" w:fill="auto"/>
            <w:vAlign w:val="center"/>
          </w:tcPr>
          <w:p w14:paraId="5E98D80B">
            <w:pPr>
              <w:pStyle w:val="76"/>
              <w:rPr>
                <w:rFonts w:hint="default" w:ascii="Times New Roman" w:hAnsi="Times New Roman" w:eastAsia="宋体" w:cs="Times New Roman"/>
                <w:kern w:val="0"/>
                <w:sz w:val="21"/>
                <w:szCs w:val="21"/>
              </w:rPr>
            </w:pPr>
          </w:p>
        </w:tc>
        <w:tc>
          <w:tcPr>
            <w:tcW w:w="834" w:type="pct"/>
            <w:vMerge w:val="restart"/>
            <w:tcBorders>
              <w:top w:val="single" w:color="auto" w:sz="8" w:space="0"/>
            </w:tcBorders>
            <w:shd w:val="clear" w:color="auto" w:fill="auto"/>
            <w:vAlign w:val="center"/>
          </w:tcPr>
          <w:p w14:paraId="28A4FA4F">
            <w:pPr>
              <w:pStyle w:val="76"/>
              <w:rPr>
                <w:rFonts w:hint="default" w:ascii="Times New Roman" w:hAnsi="Times New Roman" w:eastAsia="宋体" w:cs="Times New Roman"/>
                <w:kern w:val="0"/>
                <w:sz w:val="21"/>
                <w:szCs w:val="21"/>
              </w:rPr>
            </w:pPr>
          </w:p>
        </w:tc>
        <w:tc>
          <w:tcPr>
            <w:tcW w:w="832" w:type="pct"/>
            <w:tcBorders>
              <w:top w:val="single" w:color="auto" w:sz="8" w:space="0"/>
            </w:tcBorders>
            <w:shd w:val="clear" w:color="auto" w:fill="auto"/>
            <w:vAlign w:val="center"/>
          </w:tcPr>
          <w:p w14:paraId="5C237A25">
            <w:pPr>
              <w:pStyle w:val="76"/>
              <w:rPr>
                <w:rFonts w:hint="default" w:ascii="Times New Roman" w:hAnsi="Times New Roman" w:eastAsia="宋体" w:cs="Times New Roman"/>
                <w:kern w:val="0"/>
                <w:sz w:val="21"/>
                <w:szCs w:val="21"/>
              </w:rPr>
            </w:pPr>
          </w:p>
        </w:tc>
      </w:tr>
      <w:tr w14:paraId="492614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33" w:type="pct"/>
            <w:vMerge w:val="continue"/>
            <w:shd w:val="clear" w:color="auto" w:fill="auto"/>
            <w:vAlign w:val="center"/>
          </w:tcPr>
          <w:p w14:paraId="3D3D9979">
            <w:pPr>
              <w:pStyle w:val="76"/>
              <w:rPr>
                <w:rFonts w:hint="default" w:ascii="Times New Roman" w:hAnsi="Times New Roman" w:eastAsia="宋体" w:cs="Times New Roman"/>
                <w:kern w:val="0"/>
                <w:sz w:val="21"/>
                <w:szCs w:val="21"/>
              </w:rPr>
            </w:pPr>
          </w:p>
        </w:tc>
        <w:tc>
          <w:tcPr>
            <w:tcW w:w="834" w:type="pct"/>
            <w:vAlign w:val="center"/>
          </w:tcPr>
          <w:p w14:paraId="7F35819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834" w:type="pct"/>
            <w:vMerge w:val="continue"/>
          </w:tcPr>
          <w:p w14:paraId="42B92E09">
            <w:pPr>
              <w:pStyle w:val="76"/>
              <w:rPr>
                <w:rFonts w:hint="default" w:ascii="Times New Roman" w:hAnsi="Times New Roman" w:eastAsia="宋体" w:cs="Times New Roman"/>
                <w:kern w:val="0"/>
                <w:sz w:val="21"/>
                <w:szCs w:val="21"/>
              </w:rPr>
            </w:pPr>
          </w:p>
        </w:tc>
        <w:tc>
          <w:tcPr>
            <w:tcW w:w="833" w:type="pct"/>
            <w:shd w:val="clear" w:color="auto" w:fill="auto"/>
            <w:vAlign w:val="center"/>
          </w:tcPr>
          <w:p w14:paraId="5527E151">
            <w:pPr>
              <w:pStyle w:val="76"/>
              <w:rPr>
                <w:rFonts w:hint="default" w:ascii="Times New Roman" w:hAnsi="Times New Roman" w:eastAsia="宋体" w:cs="Times New Roman"/>
                <w:kern w:val="0"/>
                <w:sz w:val="21"/>
                <w:szCs w:val="21"/>
              </w:rPr>
            </w:pPr>
          </w:p>
        </w:tc>
        <w:tc>
          <w:tcPr>
            <w:tcW w:w="834" w:type="pct"/>
            <w:vMerge w:val="continue"/>
            <w:shd w:val="clear" w:color="auto" w:fill="auto"/>
            <w:vAlign w:val="center"/>
          </w:tcPr>
          <w:p w14:paraId="75FBB64A">
            <w:pPr>
              <w:pStyle w:val="76"/>
              <w:rPr>
                <w:rFonts w:hint="default" w:ascii="Times New Roman" w:hAnsi="Times New Roman" w:eastAsia="宋体" w:cs="Times New Roman"/>
                <w:kern w:val="0"/>
                <w:sz w:val="21"/>
                <w:szCs w:val="21"/>
              </w:rPr>
            </w:pPr>
          </w:p>
        </w:tc>
        <w:tc>
          <w:tcPr>
            <w:tcW w:w="832" w:type="pct"/>
            <w:shd w:val="clear" w:color="auto" w:fill="auto"/>
            <w:vAlign w:val="center"/>
          </w:tcPr>
          <w:p w14:paraId="548D3B3A">
            <w:pPr>
              <w:pStyle w:val="76"/>
              <w:rPr>
                <w:rFonts w:hint="default" w:ascii="Times New Roman" w:hAnsi="Times New Roman" w:eastAsia="宋体" w:cs="Times New Roman"/>
                <w:kern w:val="0"/>
                <w:sz w:val="21"/>
                <w:szCs w:val="21"/>
              </w:rPr>
            </w:pPr>
          </w:p>
        </w:tc>
      </w:tr>
      <w:tr w14:paraId="771AFF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33" w:type="pct"/>
            <w:vMerge w:val="continue"/>
            <w:shd w:val="clear" w:color="auto" w:fill="auto"/>
            <w:vAlign w:val="center"/>
          </w:tcPr>
          <w:p w14:paraId="54DF440D">
            <w:pPr>
              <w:pStyle w:val="76"/>
              <w:rPr>
                <w:rFonts w:hint="default" w:ascii="Times New Roman" w:hAnsi="Times New Roman" w:eastAsia="宋体" w:cs="Times New Roman"/>
                <w:kern w:val="0"/>
                <w:sz w:val="21"/>
                <w:szCs w:val="21"/>
              </w:rPr>
            </w:pPr>
          </w:p>
        </w:tc>
        <w:tc>
          <w:tcPr>
            <w:tcW w:w="834" w:type="pct"/>
            <w:vAlign w:val="center"/>
          </w:tcPr>
          <w:p w14:paraId="14428F8D">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834" w:type="pct"/>
            <w:vMerge w:val="continue"/>
          </w:tcPr>
          <w:p w14:paraId="5889CC1E">
            <w:pPr>
              <w:pStyle w:val="76"/>
              <w:rPr>
                <w:rFonts w:hint="default" w:ascii="Times New Roman" w:hAnsi="Times New Roman" w:eastAsia="宋体" w:cs="Times New Roman"/>
                <w:kern w:val="0"/>
                <w:sz w:val="21"/>
                <w:szCs w:val="21"/>
              </w:rPr>
            </w:pPr>
          </w:p>
        </w:tc>
        <w:tc>
          <w:tcPr>
            <w:tcW w:w="833" w:type="pct"/>
            <w:shd w:val="clear" w:color="auto" w:fill="auto"/>
            <w:vAlign w:val="center"/>
          </w:tcPr>
          <w:p w14:paraId="39688812">
            <w:pPr>
              <w:pStyle w:val="76"/>
              <w:rPr>
                <w:rFonts w:hint="default" w:ascii="Times New Roman" w:hAnsi="Times New Roman" w:eastAsia="宋体" w:cs="Times New Roman"/>
                <w:kern w:val="0"/>
                <w:sz w:val="21"/>
                <w:szCs w:val="21"/>
              </w:rPr>
            </w:pPr>
          </w:p>
        </w:tc>
        <w:tc>
          <w:tcPr>
            <w:tcW w:w="834" w:type="pct"/>
            <w:vMerge w:val="continue"/>
            <w:shd w:val="clear" w:color="auto" w:fill="auto"/>
            <w:vAlign w:val="center"/>
          </w:tcPr>
          <w:p w14:paraId="7A38E6F6">
            <w:pPr>
              <w:pStyle w:val="76"/>
              <w:rPr>
                <w:rFonts w:hint="default" w:ascii="Times New Roman" w:hAnsi="Times New Roman" w:eastAsia="宋体" w:cs="Times New Roman"/>
                <w:kern w:val="0"/>
                <w:sz w:val="21"/>
                <w:szCs w:val="21"/>
              </w:rPr>
            </w:pPr>
          </w:p>
        </w:tc>
        <w:tc>
          <w:tcPr>
            <w:tcW w:w="832" w:type="pct"/>
            <w:shd w:val="clear" w:color="auto" w:fill="auto"/>
            <w:vAlign w:val="center"/>
          </w:tcPr>
          <w:p w14:paraId="7401760E">
            <w:pPr>
              <w:pStyle w:val="76"/>
              <w:rPr>
                <w:rFonts w:hint="default" w:ascii="Times New Roman" w:hAnsi="Times New Roman" w:eastAsia="宋体" w:cs="Times New Roman"/>
                <w:kern w:val="0"/>
                <w:sz w:val="21"/>
                <w:szCs w:val="21"/>
              </w:rPr>
            </w:pPr>
          </w:p>
        </w:tc>
      </w:tr>
      <w:tr w14:paraId="116597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33" w:type="pct"/>
            <w:vMerge w:val="restart"/>
            <w:shd w:val="clear" w:color="auto" w:fill="auto"/>
            <w:vAlign w:val="center"/>
          </w:tcPr>
          <w:p w14:paraId="61CF952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第二次测试</w:t>
            </w:r>
          </w:p>
        </w:tc>
        <w:tc>
          <w:tcPr>
            <w:tcW w:w="834" w:type="pct"/>
            <w:vAlign w:val="center"/>
          </w:tcPr>
          <w:p w14:paraId="73998BA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834" w:type="pct"/>
            <w:vMerge w:val="restart"/>
          </w:tcPr>
          <w:p w14:paraId="64904084">
            <w:pPr>
              <w:pStyle w:val="76"/>
              <w:rPr>
                <w:rFonts w:hint="default" w:ascii="Times New Roman" w:hAnsi="Times New Roman" w:eastAsia="宋体" w:cs="Times New Roman"/>
                <w:kern w:val="0"/>
                <w:sz w:val="21"/>
                <w:szCs w:val="21"/>
              </w:rPr>
            </w:pPr>
          </w:p>
        </w:tc>
        <w:tc>
          <w:tcPr>
            <w:tcW w:w="833" w:type="pct"/>
            <w:shd w:val="clear" w:color="auto" w:fill="auto"/>
            <w:vAlign w:val="center"/>
          </w:tcPr>
          <w:p w14:paraId="0D07EBB0">
            <w:pPr>
              <w:pStyle w:val="76"/>
              <w:rPr>
                <w:rFonts w:hint="default" w:ascii="Times New Roman" w:hAnsi="Times New Roman" w:eastAsia="宋体" w:cs="Times New Roman"/>
                <w:kern w:val="0"/>
                <w:sz w:val="21"/>
                <w:szCs w:val="21"/>
              </w:rPr>
            </w:pPr>
          </w:p>
        </w:tc>
        <w:tc>
          <w:tcPr>
            <w:tcW w:w="834" w:type="pct"/>
            <w:vMerge w:val="restart"/>
            <w:shd w:val="clear" w:color="auto" w:fill="auto"/>
            <w:vAlign w:val="center"/>
          </w:tcPr>
          <w:p w14:paraId="03E9695A">
            <w:pPr>
              <w:pStyle w:val="76"/>
              <w:rPr>
                <w:rFonts w:hint="default" w:ascii="Times New Roman" w:hAnsi="Times New Roman" w:eastAsia="宋体" w:cs="Times New Roman"/>
                <w:kern w:val="0"/>
                <w:sz w:val="21"/>
                <w:szCs w:val="21"/>
              </w:rPr>
            </w:pPr>
          </w:p>
        </w:tc>
        <w:tc>
          <w:tcPr>
            <w:tcW w:w="832" w:type="pct"/>
            <w:shd w:val="clear" w:color="auto" w:fill="auto"/>
            <w:vAlign w:val="center"/>
          </w:tcPr>
          <w:p w14:paraId="2C7B4DD4">
            <w:pPr>
              <w:pStyle w:val="76"/>
              <w:rPr>
                <w:rFonts w:hint="default" w:ascii="Times New Roman" w:hAnsi="Times New Roman" w:eastAsia="宋体" w:cs="Times New Roman"/>
                <w:kern w:val="0"/>
                <w:sz w:val="21"/>
                <w:szCs w:val="21"/>
              </w:rPr>
            </w:pPr>
          </w:p>
        </w:tc>
      </w:tr>
      <w:tr w14:paraId="17591E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33" w:type="pct"/>
            <w:vMerge w:val="continue"/>
            <w:shd w:val="clear" w:color="auto" w:fill="auto"/>
            <w:vAlign w:val="center"/>
          </w:tcPr>
          <w:p w14:paraId="016B5F24">
            <w:pPr>
              <w:pStyle w:val="76"/>
              <w:rPr>
                <w:rFonts w:hint="default" w:ascii="Times New Roman" w:hAnsi="Times New Roman" w:eastAsia="宋体" w:cs="Times New Roman"/>
                <w:kern w:val="0"/>
                <w:sz w:val="21"/>
                <w:szCs w:val="21"/>
              </w:rPr>
            </w:pPr>
          </w:p>
        </w:tc>
        <w:tc>
          <w:tcPr>
            <w:tcW w:w="834" w:type="pct"/>
            <w:vAlign w:val="center"/>
          </w:tcPr>
          <w:p w14:paraId="0F2D919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834" w:type="pct"/>
            <w:vMerge w:val="continue"/>
          </w:tcPr>
          <w:p w14:paraId="62371975">
            <w:pPr>
              <w:pStyle w:val="76"/>
              <w:rPr>
                <w:rFonts w:hint="default" w:ascii="Times New Roman" w:hAnsi="Times New Roman" w:eastAsia="宋体" w:cs="Times New Roman"/>
                <w:kern w:val="0"/>
                <w:sz w:val="21"/>
                <w:szCs w:val="21"/>
              </w:rPr>
            </w:pPr>
          </w:p>
        </w:tc>
        <w:tc>
          <w:tcPr>
            <w:tcW w:w="833" w:type="pct"/>
            <w:shd w:val="clear" w:color="auto" w:fill="auto"/>
            <w:vAlign w:val="center"/>
          </w:tcPr>
          <w:p w14:paraId="76D88D68">
            <w:pPr>
              <w:pStyle w:val="76"/>
              <w:rPr>
                <w:rFonts w:hint="default" w:ascii="Times New Roman" w:hAnsi="Times New Roman" w:eastAsia="宋体" w:cs="Times New Roman"/>
                <w:kern w:val="0"/>
                <w:sz w:val="21"/>
                <w:szCs w:val="21"/>
              </w:rPr>
            </w:pPr>
          </w:p>
        </w:tc>
        <w:tc>
          <w:tcPr>
            <w:tcW w:w="834" w:type="pct"/>
            <w:vMerge w:val="continue"/>
            <w:shd w:val="clear" w:color="auto" w:fill="auto"/>
            <w:vAlign w:val="center"/>
          </w:tcPr>
          <w:p w14:paraId="6CB5C684">
            <w:pPr>
              <w:pStyle w:val="76"/>
              <w:rPr>
                <w:rFonts w:hint="default" w:ascii="Times New Roman" w:hAnsi="Times New Roman" w:eastAsia="宋体" w:cs="Times New Roman"/>
                <w:kern w:val="0"/>
                <w:sz w:val="21"/>
                <w:szCs w:val="21"/>
              </w:rPr>
            </w:pPr>
          </w:p>
        </w:tc>
        <w:tc>
          <w:tcPr>
            <w:tcW w:w="832" w:type="pct"/>
            <w:shd w:val="clear" w:color="auto" w:fill="auto"/>
            <w:vAlign w:val="center"/>
          </w:tcPr>
          <w:p w14:paraId="148D99FC">
            <w:pPr>
              <w:pStyle w:val="76"/>
              <w:rPr>
                <w:rFonts w:hint="default" w:ascii="Times New Roman" w:hAnsi="Times New Roman" w:eastAsia="宋体" w:cs="Times New Roman"/>
                <w:kern w:val="0"/>
                <w:sz w:val="21"/>
                <w:szCs w:val="21"/>
              </w:rPr>
            </w:pPr>
          </w:p>
        </w:tc>
      </w:tr>
      <w:tr w14:paraId="1B623C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33" w:type="pct"/>
            <w:vMerge w:val="continue"/>
            <w:shd w:val="clear" w:color="auto" w:fill="auto"/>
            <w:vAlign w:val="center"/>
          </w:tcPr>
          <w:p w14:paraId="51037343">
            <w:pPr>
              <w:pStyle w:val="76"/>
              <w:rPr>
                <w:rFonts w:hint="default" w:ascii="Times New Roman" w:hAnsi="Times New Roman" w:eastAsia="宋体" w:cs="Times New Roman"/>
                <w:kern w:val="0"/>
                <w:sz w:val="21"/>
                <w:szCs w:val="21"/>
              </w:rPr>
            </w:pPr>
          </w:p>
        </w:tc>
        <w:tc>
          <w:tcPr>
            <w:tcW w:w="834" w:type="pct"/>
            <w:vAlign w:val="center"/>
          </w:tcPr>
          <w:p w14:paraId="0C69A80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834" w:type="pct"/>
            <w:vMerge w:val="continue"/>
          </w:tcPr>
          <w:p w14:paraId="4C601AD0">
            <w:pPr>
              <w:pStyle w:val="76"/>
              <w:rPr>
                <w:rFonts w:hint="default" w:ascii="Times New Roman" w:hAnsi="Times New Roman" w:eastAsia="宋体" w:cs="Times New Roman"/>
                <w:kern w:val="0"/>
                <w:sz w:val="21"/>
                <w:szCs w:val="21"/>
              </w:rPr>
            </w:pPr>
          </w:p>
        </w:tc>
        <w:tc>
          <w:tcPr>
            <w:tcW w:w="833" w:type="pct"/>
            <w:shd w:val="clear" w:color="auto" w:fill="auto"/>
            <w:vAlign w:val="center"/>
          </w:tcPr>
          <w:p w14:paraId="1DF18A96">
            <w:pPr>
              <w:pStyle w:val="76"/>
              <w:rPr>
                <w:rFonts w:hint="default" w:ascii="Times New Roman" w:hAnsi="Times New Roman" w:eastAsia="宋体" w:cs="Times New Roman"/>
                <w:kern w:val="0"/>
                <w:sz w:val="21"/>
                <w:szCs w:val="21"/>
              </w:rPr>
            </w:pPr>
          </w:p>
        </w:tc>
        <w:tc>
          <w:tcPr>
            <w:tcW w:w="834" w:type="pct"/>
            <w:vMerge w:val="continue"/>
            <w:shd w:val="clear" w:color="auto" w:fill="auto"/>
            <w:vAlign w:val="center"/>
          </w:tcPr>
          <w:p w14:paraId="565E5AFB">
            <w:pPr>
              <w:pStyle w:val="76"/>
              <w:rPr>
                <w:rFonts w:hint="default" w:ascii="Times New Roman" w:hAnsi="Times New Roman" w:eastAsia="宋体" w:cs="Times New Roman"/>
                <w:kern w:val="0"/>
                <w:sz w:val="21"/>
                <w:szCs w:val="21"/>
              </w:rPr>
            </w:pPr>
          </w:p>
        </w:tc>
        <w:tc>
          <w:tcPr>
            <w:tcW w:w="832" w:type="pct"/>
            <w:shd w:val="clear" w:color="auto" w:fill="auto"/>
            <w:vAlign w:val="center"/>
          </w:tcPr>
          <w:p w14:paraId="7CD53BC0">
            <w:pPr>
              <w:pStyle w:val="76"/>
              <w:rPr>
                <w:rFonts w:hint="default" w:ascii="Times New Roman" w:hAnsi="Times New Roman" w:eastAsia="宋体" w:cs="Times New Roman"/>
                <w:kern w:val="0"/>
                <w:sz w:val="21"/>
                <w:szCs w:val="21"/>
              </w:rPr>
            </w:pPr>
          </w:p>
        </w:tc>
      </w:tr>
      <w:tr w14:paraId="12850A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33" w:type="pct"/>
            <w:vMerge w:val="restart"/>
            <w:shd w:val="clear" w:color="auto" w:fill="auto"/>
            <w:vAlign w:val="center"/>
          </w:tcPr>
          <w:p w14:paraId="22B8994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第三次测试</w:t>
            </w:r>
          </w:p>
        </w:tc>
        <w:tc>
          <w:tcPr>
            <w:tcW w:w="834" w:type="pct"/>
            <w:vAlign w:val="center"/>
          </w:tcPr>
          <w:p w14:paraId="1EDC0B6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834" w:type="pct"/>
            <w:vMerge w:val="restart"/>
          </w:tcPr>
          <w:p w14:paraId="7AAE88D8">
            <w:pPr>
              <w:pStyle w:val="76"/>
              <w:rPr>
                <w:rFonts w:hint="default" w:ascii="Times New Roman" w:hAnsi="Times New Roman" w:eastAsia="宋体" w:cs="Times New Roman"/>
                <w:kern w:val="0"/>
                <w:sz w:val="21"/>
                <w:szCs w:val="21"/>
              </w:rPr>
            </w:pPr>
          </w:p>
        </w:tc>
        <w:tc>
          <w:tcPr>
            <w:tcW w:w="833" w:type="pct"/>
            <w:shd w:val="clear" w:color="auto" w:fill="auto"/>
            <w:vAlign w:val="center"/>
          </w:tcPr>
          <w:p w14:paraId="14C4AE2C">
            <w:pPr>
              <w:pStyle w:val="76"/>
              <w:rPr>
                <w:rFonts w:hint="default" w:ascii="Times New Roman" w:hAnsi="Times New Roman" w:eastAsia="宋体" w:cs="Times New Roman"/>
                <w:kern w:val="0"/>
                <w:sz w:val="21"/>
                <w:szCs w:val="21"/>
              </w:rPr>
            </w:pPr>
          </w:p>
        </w:tc>
        <w:tc>
          <w:tcPr>
            <w:tcW w:w="834" w:type="pct"/>
            <w:vMerge w:val="restart"/>
            <w:shd w:val="clear" w:color="auto" w:fill="auto"/>
            <w:vAlign w:val="center"/>
          </w:tcPr>
          <w:p w14:paraId="585A9072">
            <w:pPr>
              <w:pStyle w:val="76"/>
              <w:rPr>
                <w:rFonts w:hint="default" w:ascii="Times New Roman" w:hAnsi="Times New Roman" w:eastAsia="宋体" w:cs="Times New Roman"/>
                <w:kern w:val="0"/>
                <w:sz w:val="21"/>
                <w:szCs w:val="21"/>
              </w:rPr>
            </w:pPr>
          </w:p>
        </w:tc>
        <w:tc>
          <w:tcPr>
            <w:tcW w:w="832" w:type="pct"/>
            <w:shd w:val="clear" w:color="auto" w:fill="auto"/>
            <w:vAlign w:val="center"/>
          </w:tcPr>
          <w:p w14:paraId="256443AD">
            <w:pPr>
              <w:pStyle w:val="76"/>
              <w:rPr>
                <w:rFonts w:hint="default" w:ascii="Times New Roman" w:hAnsi="Times New Roman" w:eastAsia="宋体" w:cs="Times New Roman"/>
                <w:kern w:val="0"/>
                <w:sz w:val="21"/>
                <w:szCs w:val="21"/>
              </w:rPr>
            </w:pPr>
          </w:p>
        </w:tc>
      </w:tr>
      <w:tr w14:paraId="01775A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33" w:type="pct"/>
            <w:vMerge w:val="continue"/>
            <w:shd w:val="clear" w:color="auto" w:fill="auto"/>
            <w:vAlign w:val="center"/>
          </w:tcPr>
          <w:p w14:paraId="14F69B76">
            <w:pPr>
              <w:pStyle w:val="76"/>
              <w:rPr>
                <w:rFonts w:hint="default" w:ascii="Times New Roman" w:hAnsi="Times New Roman" w:eastAsia="宋体" w:cs="Times New Roman"/>
                <w:kern w:val="0"/>
                <w:sz w:val="21"/>
                <w:szCs w:val="21"/>
              </w:rPr>
            </w:pPr>
          </w:p>
        </w:tc>
        <w:tc>
          <w:tcPr>
            <w:tcW w:w="834" w:type="pct"/>
            <w:vAlign w:val="center"/>
          </w:tcPr>
          <w:p w14:paraId="53B6BBD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834" w:type="pct"/>
            <w:vMerge w:val="continue"/>
          </w:tcPr>
          <w:p w14:paraId="2450BC89">
            <w:pPr>
              <w:pStyle w:val="76"/>
              <w:rPr>
                <w:rFonts w:hint="default" w:ascii="Times New Roman" w:hAnsi="Times New Roman" w:eastAsia="宋体" w:cs="Times New Roman"/>
                <w:kern w:val="0"/>
                <w:sz w:val="21"/>
                <w:szCs w:val="21"/>
              </w:rPr>
            </w:pPr>
          </w:p>
        </w:tc>
        <w:tc>
          <w:tcPr>
            <w:tcW w:w="833" w:type="pct"/>
            <w:shd w:val="clear" w:color="auto" w:fill="auto"/>
            <w:vAlign w:val="center"/>
          </w:tcPr>
          <w:p w14:paraId="485DABA9">
            <w:pPr>
              <w:pStyle w:val="76"/>
              <w:rPr>
                <w:rFonts w:hint="default" w:ascii="Times New Roman" w:hAnsi="Times New Roman" w:eastAsia="宋体" w:cs="Times New Roman"/>
                <w:kern w:val="0"/>
                <w:sz w:val="21"/>
                <w:szCs w:val="21"/>
              </w:rPr>
            </w:pPr>
          </w:p>
        </w:tc>
        <w:tc>
          <w:tcPr>
            <w:tcW w:w="834" w:type="pct"/>
            <w:vMerge w:val="continue"/>
            <w:shd w:val="clear" w:color="auto" w:fill="auto"/>
            <w:vAlign w:val="center"/>
          </w:tcPr>
          <w:p w14:paraId="4C8F4EB5">
            <w:pPr>
              <w:pStyle w:val="76"/>
              <w:rPr>
                <w:rFonts w:hint="default" w:ascii="Times New Roman" w:hAnsi="Times New Roman" w:eastAsia="宋体" w:cs="Times New Roman"/>
                <w:kern w:val="0"/>
                <w:sz w:val="21"/>
                <w:szCs w:val="21"/>
              </w:rPr>
            </w:pPr>
          </w:p>
        </w:tc>
        <w:tc>
          <w:tcPr>
            <w:tcW w:w="832" w:type="pct"/>
            <w:shd w:val="clear" w:color="auto" w:fill="auto"/>
            <w:vAlign w:val="center"/>
          </w:tcPr>
          <w:p w14:paraId="30CB4734">
            <w:pPr>
              <w:pStyle w:val="76"/>
              <w:rPr>
                <w:rFonts w:hint="default" w:ascii="Times New Roman" w:hAnsi="Times New Roman" w:eastAsia="宋体" w:cs="Times New Roman"/>
                <w:kern w:val="0"/>
                <w:sz w:val="21"/>
                <w:szCs w:val="21"/>
              </w:rPr>
            </w:pPr>
          </w:p>
        </w:tc>
      </w:tr>
      <w:tr w14:paraId="0A6441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33" w:type="pct"/>
            <w:vMerge w:val="continue"/>
            <w:shd w:val="clear" w:color="auto" w:fill="auto"/>
            <w:vAlign w:val="center"/>
          </w:tcPr>
          <w:p w14:paraId="5AD2EF76">
            <w:pPr>
              <w:pStyle w:val="76"/>
              <w:rPr>
                <w:rFonts w:hint="default" w:ascii="Times New Roman" w:hAnsi="Times New Roman" w:eastAsia="宋体" w:cs="Times New Roman"/>
                <w:kern w:val="0"/>
                <w:sz w:val="21"/>
                <w:szCs w:val="21"/>
              </w:rPr>
            </w:pPr>
          </w:p>
        </w:tc>
        <w:tc>
          <w:tcPr>
            <w:tcW w:w="834" w:type="pct"/>
            <w:vAlign w:val="center"/>
          </w:tcPr>
          <w:p w14:paraId="693972D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834" w:type="pct"/>
            <w:vMerge w:val="continue"/>
          </w:tcPr>
          <w:p w14:paraId="5BF843ED">
            <w:pPr>
              <w:pStyle w:val="76"/>
              <w:rPr>
                <w:rFonts w:hint="default" w:ascii="Times New Roman" w:hAnsi="Times New Roman" w:eastAsia="宋体" w:cs="Times New Roman"/>
                <w:kern w:val="0"/>
                <w:sz w:val="21"/>
                <w:szCs w:val="21"/>
              </w:rPr>
            </w:pPr>
          </w:p>
        </w:tc>
        <w:tc>
          <w:tcPr>
            <w:tcW w:w="833" w:type="pct"/>
            <w:shd w:val="clear" w:color="auto" w:fill="auto"/>
            <w:vAlign w:val="center"/>
          </w:tcPr>
          <w:p w14:paraId="5E52CB6A">
            <w:pPr>
              <w:pStyle w:val="76"/>
              <w:rPr>
                <w:rFonts w:hint="default" w:ascii="Times New Roman" w:hAnsi="Times New Roman" w:eastAsia="宋体" w:cs="Times New Roman"/>
                <w:kern w:val="0"/>
                <w:sz w:val="21"/>
                <w:szCs w:val="21"/>
              </w:rPr>
            </w:pPr>
          </w:p>
        </w:tc>
        <w:tc>
          <w:tcPr>
            <w:tcW w:w="834" w:type="pct"/>
            <w:vMerge w:val="continue"/>
            <w:shd w:val="clear" w:color="auto" w:fill="auto"/>
            <w:vAlign w:val="center"/>
          </w:tcPr>
          <w:p w14:paraId="29528610">
            <w:pPr>
              <w:pStyle w:val="76"/>
              <w:rPr>
                <w:rFonts w:hint="default" w:ascii="Times New Roman" w:hAnsi="Times New Roman" w:eastAsia="宋体" w:cs="Times New Roman"/>
                <w:kern w:val="0"/>
                <w:sz w:val="21"/>
                <w:szCs w:val="21"/>
              </w:rPr>
            </w:pPr>
          </w:p>
        </w:tc>
        <w:tc>
          <w:tcPr>
            <w:tcW w:w="832" w:type="pct"/>
            <w:shd w:val="clear" w:color="auto" w:fill="auto"/>
            <w:vAlign w:val="center"/>
          </w:tcPr>
          <w:p w14:paraId="5DEDE482">
            <w:pPr>
              <w:pStyle w:val="76"/>
              <w:rPr>
                <w:rFonts w:hint="default" w:ascii="Times New Roman" w:hAnsi="Times New Roman" w:eastAsia="宋体" w:cs="Times New Roman"/>
                <w:kern w:val="0"/>
                <w:sz w:val="21"/>
                <w:szCs w:val="21"/>
              </w:rPr>
            </w:pPr>
          </w:p>
        </w:tc>
      </w:tr>
      <w:bookmarkEnd w:id="202"/>
    </w:tbl>
    <w:p w14:paraId="30D435D0">
      <w:pPr>
        <w:pStyle w:val="73"/>
        <w:ind w:firstLine="420"/>
      </w:pPr>
    </w:p>
    <w:p w14:paraId="5BE58D38">
      <w:pPr>
        <w:pStyle w:val="73"/>
        <w:ind w:firstLine="420"/>
      </w:pPr>
      <w:r>
        <w:rPr>
          <w:rFonts w:hint="eastAsia"/>
        </w:rPr>
        <w:t>液压系统密封性能和锁定性能测试记录表见表</w:t>
      </w:r>
      <w:r>
        <w:rPr>
          <w:rFonts w:ascii="Times New Roman"/>
        </w:rPr>
        <w:t>A.</w:t>
      </w:r>
      <w:r>
        <w:rPr>
          <w:rFonts w:hint="eastAsia" w:ascii="Times New Roman"/>
        </w:rPr>
        <w:t>6</w:t>
      </w:r>
      <w:r>
        <w:rPr>
          <w:rFonts w:hint="eastAsia"/>
        </w:rPr>
        <w:t>。</w:t>
      </w:r>
    </w:p>
    <w:p w14:paraId="508919F3">
      <w:pPr>
        <w:pStyle w:val="75"/>
        <w:spacing w:before="156" w:after="156"/>
      </w:pPr>
      <w:bookmarkStart w:id="203" w:name="_Toc195545788"/>
      <w:r>
        <w:rPr>
          <w:rFonts w:hint="eastAsia"/>
        </w:rPr>
        <w:t>液压系统密封性能和锁定性能测试记录表</w:t>
      </w:r>
      <w:bookmarkEnd w:id="203"/>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956"/>
        <w:gridCol w:w="1271"/>
        <w:gridCol w:w="1271"/>
        <w:gridCol w:w="1271"/>
        <w:gridCol w:w="1272"/>
        <w:gridCol w:w="2062"/>
        <w:gridCol w:w="947"/>
      </w:tblGrid>
      <w:tr w14:paraId="47C913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529" w:type="pct"/>
            <w:tcBorders>
              <w:top w:val="single" w:color="auto" w:sz="8" w:space="0"/>
              <w:bottom w:val="single" w:color="auto" w:sz="8" w:space="0"/>
            </w:tcBorders>
            <w:vAlign w:val="center"/>
          </w:tcPr>
          <w:p w14:paraId="6B7B00C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液压缸编号</w:t>
            </w:r>
          </w:p>
        </w:tc>
        <w:tc>
          <w:tcPr>
            <w:tcW w:w="702" w:type="pct"/>
            <w:tcBorders>
              <w:top w:val="single" w:color="auto" w:sz="8" w:space="0"/>
              <w:bottom w:val="single" w:color="auto" w:sz="8" w:space="0"/>
            </w:tcBorders>
            <w:shd w:val="clear" w:color="auto" w:fill="auto"/>
            <w:vAlign w:val="center"/>
          </w:tcPr>
          <w:p w14:paraId="68DAE02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初始伸出位移值</w:t>
            </w:r>
          </w:p>
          <w:p w14:paraId="2FD67284">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702" w:type="pct"/>
            <w:tcBorders>
              <w:top w:val="single" w:color="auto" w:sz="8" w:space="0"/>
              <w:bottom w:val="single" w:color="auto" w:sz="8" w:space="0"/>
            </w:tcBorders>
            <w:shd w:val="clear" w:color="auto" w:fill="auto"/>
            <w:vAlign w:val="center"/>
          </w:tcPr>
          <w:p w14:paraId="50F401D3">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最终伸出位移值</w:t>
            </w:r>
          </w:p>
          <w:p w14:paraId="3BF6ED9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702" w:type="pct"/>
            <w:tcBorders>
              <w:top w:val="single" w:color="auto" w:sz="8" w:space="0"/>
              <w:bottom w:val="single" w:color="auto" w:sz="8" w:space="0"/>
            </w:tcBorders>
            <w:vAlign w:val="center"/>
          </w:tcPr>
          <w:p w14:paraId="0B06AAC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下滑量</w:t>
            </w:r>
          </w:p>
          <w:p w14:paraId="19D3639A">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703" w:type="pct"/>
            <w:tcBorders>
              <w:top w:val="single" w:color="auto" w:sz="8" w:space="0"/>
              <w:bottom w:val="single" w:color="auto" w:sz="8" w:space="0"/>
            </w:tcBorders>
            <w:vAlign w:val="center"/>
          </w:tcPr>
          <w:p w14:paraId="5DA0B85A">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下滑量限值</w:t>
            </w:r>
          </w:p>
          <w:p w14:paraId="79CD316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1139" w:type="pct"/>
            <w:tcBorders>
              <w:top w:val="single" w:color="auto" w:sz="8" w:space="0"/>
              <w:bottom w:val="single" w:color="auto" w:sz="8" w:space="0"/>
            </w:tcBorders>
            <w:vAlign w:val="center"/>
          </w:tcPr>
          <w:p w14:paraId="4FEC4A8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液压泵、液压缸、控制元件、辅助元件渗漏情况</w:t>
            </w:r>
          </w:p>
        </w:tc>
        <w:tc>
          <w:tcPr>
            <w:tcW w:w="524" w:type="pct"/>
            <w:tcBorders>
              <w:top w:val="single" w:color="auto" w:sz="8" w:space="0"/>
              <w:bottom w:val="single" w:color="auto" w:sz="8" w:space="0"/>
            </w:tcBorders>
            <w:shd w:val="clear" w:color="auto" w:fill="auto"/>
            <w:vAlign w:val="center"/>
          </w:tcPr>
          <w:p w14:paraId="36F3F34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备注</w:t>
            </w:r>
          </w:p>
        </w:tc>
      </w:tr>
      <w:tr w14:paraId="45E6AD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29" w:type="pct"/>
            <w:tcBorders>
              <w:top w:val="single" w:color="auto" w:sz="8" w:space="0"/>
            </w:tcBorders>
            <w:vAlign w:val="center"/>
          </w:tcPr>
          <w:p w14:paraId="0810639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702" w:type="pct"/>
            <w:tcBorders>
              <w:top w:val="single" w:color="auto" w:sz="8" w:space="0"/>
            </w:tcBorders>
            <w:shd w:val="clear" w:color="auto" w:fill="auto"/>
            <w:vAlign w:val="center"/>
          </w:tcPr>
          <w:p w14:paraId="77C89447">
            <w:pPr>
              <w:pStyle w:val="76"/>
              <w:rPr>
                <w:rFonts w:hint="default" w:ascii="Times New Roman" w:hAnsi="Times New Roman" w:eastAsia="宋体" w:cs="Times New Roman"/>
                <w:kern w:val="0"/>
                <w:sz w:val="21"/>
                <w:szCs w:val="21"/>
              </w:rPr>
            </w:pPr>
          </w:p>
        </w:tc>
        <w:tc>
          <w:tcPr>
            <w:tcW w:w="702" w:type="pct"/>
            <w:tcBorders>
              <w:top w:val="single" w:color="auto" w:sz="8" w:space="0"/>
            </w:tcBorders>
            <w:shd w:val="clear" w:color="auto" w:fill="auto"/>
            <w:vAlign w:val="center"/>
          </w:tcPr>
          <w:p w14:paraId="64ED697E">
            <w:pPr>
              <w:pStyle w:val="76"/>
              <w:rPr>
                <w:rFonts w:hint="default" w:ascii="Times New Roman" w:hAnsi="Times New Roman" w:eastAsia="宋体" w:cs="Times New Roman"/>
                <w:kern w:val="0"/>
                <w:sz w:val="21"/>
                <w:szCs w:val="21"/>
              </w:rPr>
            </w:pPr>
          </w:p>
        </w:tc>
        <w:tc>
          <w:tcPr>
            <w:tcW w:w="702" w:type="pct"/>
            <w:tcBorders>
              <w:top w:val="single" w:color="auto" w:sz="8" w:space="0"/>
            </w:tcBorders>
            <w:vAlign w:val="center"/>
          </w:tcPr>
          <w:p w14:paraId="02F4F0CD">
            <w:pPr>
              <w:pStyle w:val="76"/>
              <w:rPr>
                <w:rFonts w:hint="default" w:ascii="Times New Roman" w:hAnsi="Times New Roman" w:eastAsia="宋体" w:cs="Times New Roman"/>
                <w:kern w:val="0"/>
                <w:sz w:val="21"/>
                <w:szCs w:val="21"/>
              </w:rPr>
            </w:pPr>
          </w:p>
        </w:tc>
        <w:tc>
          <w:tcPr>
            <w:tcW w:w="703" w:type="pct"/>
            <w:vMerge w:val="restart"/>
            <w:tcBorders>
              <w:top w:val="single" w:color="auto" w:sz="8" w:space="0"/>
            </w:tcBorders>
            <w:vAlign w:val="center"/>
          </w:tcPr>
          <w:p w14:paraId="09C69CC7">
            <w:pPr>
              <w:pStyle w:val="76"/>
              <w:rPr>
                <w:rFonts w:hint="default" w:ascii="Times New Roman" w:hAnsi="Times New Roman" w:eastAsia="宋体" w:cs="Times New Roman"/>
                <w:kern w:val="0"/>
                <w:sz w:val="21"/>
                <w:szCs w:val="21"/>
              </w:rPr>
            </w:pPr>
          </w:p>
        </w:tc>
        <w:tc>
          <w:tcPr>
            <w:tcW w:w="1139" w:type="pct"/>
            <w:tcBorders>
              <w:top w:val="single" w:color="auto" w:sz="8" w:space="0"/>
            </w:tcBorders>
            <w:vAlign w:val="center"/>
          </w:tcPr>
          <w:p w14:paraId="23792988">
            <w:pPr>
              <w:pStyle w:val="76"/>
              <w:rPr>
                <w:rFonts w:hint="default" w:ascii="Times New Roman" w:hAnsi="Times New Roman" w:eastAsia="宋体" w:cs="Times New Roman"/>
                <w:kern w:val="0"/>
                <w:sz w:val="21"/>
                <w:szCs w:val="21"/>
              </w:rPr>
            </w:pPr>
          </w:p>
        </w:tc>
        <w:tc>
          <w:tcPr>
            <w:tcW w:w="524" w:type="pct"/>
            <w:tcBorders>
              <w:top w:val="single" w:color="auto" w:sz="8" w:space="0"/>
            </w:tcBorders>
            <w:shd w:val="clear" w:color="auto" w:fill="auto"/>
            <w:vAlign w:val="center"/>
          </w:tcPr>
          <w:p w14:paraId="7A3B0974">
            <w:pPr>
              <w:pStyle w:val="76"/>
              <w:rPr>
                <w:rFonts w:hint="default" w:ascii="Times New Roman" w:hAnsi="Times New Roman" w:eastAsia="宋体" w:cs="Times New Roman"/>
                <w:kern w:val="0"/>
                <w:sz w:val="21"/>
                <w:szCs w:val="21"/>
              </w:rPr>
            </w:pPr>
          </w:p>
        </w:tc>
      </w:tr>
      <w:tr w14:paraId="61D4F1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29" w:type="pct"/>
            <w:vAlign w:val="center"/>
          </w:tcPr>
          <w:p w14:paraId="3DAA317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702" w:type="pct"/>
            <w:shd w:val="clear" w:color="auto" w:fill="auto"/>
            <w:vAlign w:val="center"/>
          </w:tcPr>
          <w:p w14:paraId="45376A35">
            <w:pPr>
              <w:pStyle w:val="76"/>
              <w:rPr>
                <w:rFonts w:hint="default" w:ascii="Times New Roman" w:hAnsi="Times New Roman" w:eastAsia="宋体" w:cs="Times New Roman"/>
                <w:kern w:val="0"/>
                <w:sz w:val="21"/>
                <w:szCs w:val="21"/>
              </w:rPr>
            </w:pPr>
          </w:p>
        </w:tc>
        <w:tc>
          <w:tcPr>
            <w:tcW w:w="702" w:type="pct"/>
            <w:shd w:val="clear" w:color="auto" w:fill="auto"/>
            <w:vAlign w:val="center"/>
          </w:tcPr>
          <w:p w14:paraId="79F248E5">
            <w:pPr>
              <w:pStyle w:val="76"/>
              <w:rPr>
                <w:rFonts w:hint="default" w:ascii="Times New Roman" w:hAnsi="Times New Roman" w:eastAsia="宋体" w:cs="Times New Roman"/>
                <w:kern w:val="0"/>
                <w:sz w:val="21"/>
                <w:szCs w:val="21"/>
              </w:rPr>
            </w:pPr>
          </w:p>
        </w:tc>
        <w:tc>
          <w:tcPr>
            <w:tcW w:w="702" w:type="pct"/>
            <w:vAlign w:val="center"/>
          </w:tcPr>
          <w:p w14:paraId="5EE36AA2">
            <w:pPr>
              <w:pStyle w:val="76"/>
              <w:rPr>
                <w:rFonts w:hint="default" w:ascii="Times New Roman" w:hAnsi="Times New Roman" w:eastAsia="宋体" w:cs="Times New Roman"/>
                <w:kern w:val="0"/>
                <w:sz w:val="21"/>
                <w:szCs w:val="21"/>
              </w:rPr>
            </w:pPr>
          </w:p>
        </w:tc>
        <w:tc>
          <w:tcPr>
            <w:tcW w:w="703" w:type="pct"/>
            <w:vMerge w:val="continue"/>
            <w:vAlign w:val="center"/>
          </w:tcPr>
          <w:p w14:paraId="557EA2FD">
            <w:pPr>
              <w:pStyle w:val="76"/>
              <w:rPr>
                <w:rFonts w:hint="default" w:ascii="Times New Roman" w:hAnsi="Times New Roman" w:eastAsia="宋体" w:cs="Times New Roman"/>
                <w:kern w:val="0"/>
                <w:sz w:val="21"/>
                <w:szCs w:val="21"/>
              </w:rPr>
            </w:pPr>
          </w:p>
        </w:tc>
        <w:tc>
          <w:tcPr>
            <w:tcW w:w="1139" w:type="pct"/>
            <w:vAlign w:val="center"/>
          </w:tcPr>
          <w:p w14:paraId="763FB174">
            <w:pPr>
              <w:pStyle w:val="76"/>
              <w:rPr>
                <w:rFonts w:hint="default" w:ascii="Times New Roman" w:hAnsi="Times New Roman" w:eastAsia="宋体" w:cs="Times New Roman"/>
                <w:kern w:val="0"/>
                <w:sz w:val="21"/>
                <w:szCs w:val="21"/>
              </w:rPr>
            </w:pPr>
          </w:p>
        </w:tc>
        <w:tc>
          <w:tcPr>
            <w:tcW w:w="524" w:type="pct"/>
            <w:shd w:val="clear" w:color="auto" w:fill="auto"/>
            <w:vAlign w:val="center"/>
          </w:tcPr>
          <w:p w14:paraId="04879E6A">
            <w:pPr>
              <w:pStyle w:val="76"/>
              <w:rPr>
                <w:rFonts w:hint="default" w:ascii="Times New Roman" w:hAnsi="Times New Roman" w:eastAsia="宋体" w:cs="Times New Roman"/>
                <w:kern w:val="0"/>
                <w:sz w:val="21"/>
                <w:szCs w:val="21"/>
              </w:rPr>
            </w:pPr>
          </w:p>
        </w:tc>
      </w:tr>
      <w:tr w14:paraId="0AE1E5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29" w:type="pct"/>
            <w:vAlign w:val="center"/>
          </w:tcPr>
          <w:p w14:paraId="4152958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702" w:type="pct"/>
            <w:shd w:val="clear" w:color="auto" w:fill="auto"/>
            <w:vAlign w:val="center"/>
          </w:tcPr>
          <w:p w14:paraId="18400463">
            <w:pPr>
              <w:pStyle w:val="76"/>
              <w:rPr>
                <w:rFonts w:hint="default" w:ascii="Times New Roman" w:hAnsi="Times New Roman" w:eastAsia="宋体" w:cs="Times New Roman"/>
                <w:kern w:val="0"/>
                <w:sz w:val="21"/>
                <w:szCs w:val="21"/>
              </w:rPr>
            </w:pPr>
          </w:p>
        </w:tc>
        <w:tc>
          <w:tcPr>
            <w:tcW w:w="702" w:type="pct"/>
            <w:shd w:val="clear" w:color="auto" w:fill="auto"/>
            <w:vAlign w:val="center"/>
          </w:tcPr>
          <w:p w14:paraId="6AF50C59">
            <w:pPr>
              <w:pStyle w:val="76"/>
              <w:rPr>
                <w:rFonts w:hint="default" w:ascii="Times New Roman" w:hAnsi="Times New Roman" w:eastAsia="宋体" w:cs="Times New Roman"/>
                <w:kern w:val="0"/>
                <w:sz w:val="21"/>
                <w:szCs w:val="21"/>
              </w:rPr>
            </w:pPr>
          </w:p>
        </w:tc>
        <w:tc>
          <w:tcPr>
            <w:tcW w:w="702" w:type="pct"/>
            <w:vAlign w:val="center"/>
          </w:tcPr>
          <w:p w14:paraId="55E7AFFC">
            <w:pPr>
              <w:pStyle w:val="76"/>
              <w:rPr>
                <w:rFonts w:hint="default" w:ascii="Times New Roman" w:hAnsi="Times New Roman" w:eastAsia="宋体" w:cs="Times New Roman"/>
                <w:kern w:val="0"/>
                <w:sz w:val="21"/>
                <w:szCs w:val="21"/>
              </w:rPr>
            </w:pPr>
          </w:p>
        </w:tc>
        <w:tc>
          <w:tcPr>
            <w:tcW w:w="703" w:type="pct"/>
            <w:vMerge w:val="continue"/>
            <w:vAlign w:val="center"/>
          </w:tcPr>
          <w:p w14:paraId="345747EA">
            <w:pPr>
              <w:pStyle w:val="76"/>
              <w:rPr>
                <w:rFonts w:hint="default" w:ascii="Times New Roman" w:hAnsi="Times New Roman" w:eastAsia="宋体" w:cs="Times New Roman"/>
                <w:kern w:val="0"/>
                <w:sz w:val="21"/>
                <w:szCs w:val="21"/>
              </w:rPr>
            </w:pPr>
          </w:p>
        </w:tc>
        <w:tc>
          <w:tcPr>
            <w:tcW w:w="1139" w:type="pct"/>
            <w:vAlign w:val="center"/>
          </w:tcPr>
          <w:p w14:paraId="136EAF08">
            <w:pPr>
              <w:pStyle w:val="76"/>
              <w:rPr>
                <w:rFonts w:hint="default" w:ascii="Times New Roman" w:hAnsi="Times New Roman" w:eastAsia="宋体" w:cs="Times New Roman"/>
                <w:kern w:val="0"/>
                <w:sz w:val="21"/>
                <w:szCs w:val="21"/>
              </w:rPr>
            </w:pPr>
          </w:p>
        </w:tc>
        <w:tc>
          <w:tcPr>
            <w:tcW w:w="524" w:type="pct"/>
            <w:shd w:val="clear" w:color="auto" w:fill="auto"/>
            <w:vAlign w:val="center"/>
          </w:tcPr>
          <w:p w14:paraId="183D8346">
            <w:pPr>
              <w:pStyle w:val="76"/>
              <w:rPr>
                <w:rFonts w:hint="default" w:ascii="Times New Roman" w:hAnsi="Times New Roman" w:eastAsia="宋体" w:cs="Times New Roman"/>
                <w:kern w:val="0"/>
                <w:sz w:val="21"/>
                <w:szCs w:val="21"/>
              </w:rPr>
            </w:pPr>
          </w:p>
        </w:tc>
      </w:tr>
    </w:tbl>
    <w:p w14:paraId="562EB479"/>
    <w:p w14:paraId="02D65AC5">
      <w:pPr>
        <w:pStyle w:val="73"/>
        <w:ind w:firstLine="420"/>
      </w:pPr>
      <w:r>
        <w:rPr>
          <w:rFonts w:hint="eastAsia"/>
        </w:rPr>
        <w:t>液压系统伸出速度测试记录表见表</w:t>
      </w:r>
      <w:r>
        <w:rPr>
          <w:rFonts w:ascii="Times New Roman"/>
        </w:rPr>
        <w:t>A.</w:t>
      </w:r>
      <w:r>
        <w:rPr>
          <w:rFonts w:hint="eastAsia" w:ascii="Times New Roman"/>
        </w:rPr>
        <w:t>7</w:t>
      </w:r>
      <w:r>
        <w:rPr>
          <w:rFonts w:hint="eastAsia"/>
        </w:rPr>
        <w:t>。</w:t>
      </w:r>
    </w:p>
    <w:p w14:paraId="7464E7D2">
      <w:pPr>
        <w:pStyle w:val="75"/>
        <w:spacing w:before="156" w:after="156"/>
      </w:pPr>
      <w:bookmarkStart w:id="204" w:name="_Toc195545789"/>
      <w:r>
        <w:rPr>
          <w:rFonts w:hint="eastAsia"/>
        </w:rPr>
        <w:t>液压系统伸出速度测试记录表</w:t>
      </w:r>
      <w:bookmarkEnd w:id="204"/>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92"/>
        <w:gridCol w:w="1292"/>
        <w:gridCol w:w="1294"/>
        <w:gridCol w:w="1292"/>
        <w:gridCol w:w="1294"/>
        <w:gridCol w:w="1293"/>
        <w:gridCol w:w="1293"/>
      </w:tblGrid>
      <w:tr w14:paraId="4F94D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714" w:type="pct"/>
            <w:tcBorders>
              <w:top w:val="single" w:color="auto" w:sz="8" w:space="0"/>
              <w:bottom w:val="single" w:color="auto" w:sz="8" w:space="0"/>
            </w:tcBorders>
            <w:shd w:val="clear" w:color="auto" w:fill="auto"/>
            <w:vAlign w:val="center"/>
          </w:tcPr>
          <w:p w14:paraId="51F43F24">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项目</w:t>
            </w:r>
          </w:p>
        </w:tc>
        <w:tc>
          <w:tcPr>
            <w:tcW w:w="714" w:type="pct"/>
            <w:tcBorders>
              <w:top w:val="single" w:color="auto" w:sz="8" w:space="0"/>
              <w:bottom w:val="single" w:color="auto" w:sz="8" w:space="0"/>
            </w:tcBorders>
            <w:vAlign w:val="center"/>
          </w:tcPr>
          <w:p w14:paraId="22273C7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液压缸编号</w:t>
            </w:r>
          </w:p>
        </w:tc>
        <w:tc>
          <w:tcPr>
            <w:tcW w:w="715" w:type="pct"/>
            <w:tcBorders>
              <w:top w:val="single" w:color="auto" w:sz="8" w:space="0"/>
              <w:bottom w:val="single" w:color="auto" w:sz="8" w:space="0"/>
            </w:tcBorders>
            <w:shd w:val="clear" w:color="auto" w:fill="auto"/>
            <w:vAlign w:val="center"/>
          </w:tcPr>
          <w:p w14:paraId="56469843">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初始行程</w:t>
            </w:r>
          </w:p>
          <w:p w14:paraId="6D4C1AA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714" w:type="pct"/>
            <w:tcBorders>
              <w:top w:val="single" w:color="auto" w:sz="8" w:space="0"/>
              <w:bottom w:val="single" w:color="auto" w:sz="8" w:space="0"/>
            </w:tcBorders>
            <w:shd w:val="clear" w:color="auto" w:fill="auto"/>
            <w:vAlign w:val="center"/>
          </w:tcPr>
          <w:p w14:paraId="1BA864F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终点行程</w:t>
            </w:r>
          </w:p>
          <w:p w14:paraId="26365D54">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715" w:type="pct"/>
            <w:tcBorders>
              <w:top w:val="single" w:color="auto" w:sz="8" w:space="0"/>
              <w:bottom w:val="single" w:color="auto" w:sz="8" w:space="0"/>
            </w:tcBorders>
          </w:tcPr>
          <w:p w14:paraId="0EA7343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伸出时间</w:t>
            </w:r>
          </w:p>
          <w:p w14:paraId="3F89D2A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s</w:t>
            </w:r>
          </w:p>
        </w:tc>
        <w:tc>
          <w:tcPr>
            <w:tcW w:w="714" w:type="pct"/>
            <w:tcBorders>
              <w:top w:val="single" w:color="auto" w:sz="8" w:space="0"/>
              <w:bottom w:val="single" w:color="auto" w:sz="8" w:space="0"/>
            </w:tcBorders>
            <w:vAlign w:val="center"/>
          </w:tcPr>
          <w:p w14:paraId="256339D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伸出速度</w:t>
            </w:r>
          </w:p>
          <w:p w14:paraId="6AAFD46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mm/s</w:t>
            </w:r>
          </w:p>
        </w:tc>
        <w:tc>
          <w:tcPr>
            <w:tcW w:w="714" w:type="pct"/>
            <w:tcBorders>
              <w:top w:val="single" w:color="auto" w:sz="8" w:space="0"/>
              <w:bottom w:val="single" w:color="auto" w:sz="8" w:space="0"/>
            </w:tcBorders>
            <w:shd w:val="clear" w:color="auto" w:fill="auto"/>
            <w:vAlign w:val="center"/>
          </w:tcPr>
          <w:p w14:paraId="7673B28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备注</w:t>
            </w:r>
          </w:p>
        </w:tc>
      </w:tr>
      <w:tr w14:paraId="13308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4" w:type="pct"/>
            <w:vMerge w:val="restart"/>
            <w:tcBorders>
              <w:top w:val="single" w:color="auto" w:sz="8" w:space="0"/>
            </w:tcBorders>
            <w:shd w:val="clear" w:color="auto" w:fill="auto"/>
            <w:vAlign w:val="center"/>
          </w:tcPr>
          <w:p w14:paraId="1C70C78D">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第一次测试</w:t>
            </w:r>
          </w:p>
        </w:tc>
        <w:tc>
          <w:tcPr>
            <w:tcW w:w="714" w:type="pct"/>
            <w:tcBorders>
              <w:top w:val="single" w:color="auto" w:sz="8" w:space="0"/>
            </w:tcBorders>
            <w:vAlign w:val="center"/>
          </w:tcPr>
          <w:p w14:paraId="2DA43B0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715" w:type="pct"/>
            <w:tcBorders>
              <w:top w:val="single" w:color="auto" w:sz="8" w:space="0"/>
            </w:tcBorders>
            <w:shd w:val="clear" w:color="auto" w:fill="auto"/>
            <w:vAlign w:val="center"/>
          </w:tcPr>
          <w:p w14:paraId="107A1880">
            <w:pPr>
              <w:pStyle w:val="76"/>
              <w:rPr>
                <w:rFonts w:hint="default" w:ascii="Times New Roman" w:hAnsi="Times New Roman" w:eastAsia="宋体" w:cs="Times New Roman"/>
                <w:kern w:val="0"/>
                <w:sz w:val="21"/>
                <w:szCs w:val="21"/>
              </w:rPr>
            </w:pPr>
          </w:p>
        </w:tc>
        <w:tc>
          <w:tcPr>
            <w:tcW w:w="714" w:type="pct"/>
            <w:tcBorders>
              <w:top w:val="single" w:color="auto" w:sz="8" w:space="0"/>
            </w:tcBorders>
            <w:shd w:val="clear" w:color="auto" w:fill="auto"/>
            <w:vAlign w:val="center"/>
          </w:tcPr>
          <w:p w14:paraId="370A9182">
            <w:pPr>
              <w:pStyle w:val="76"/>
              <w:rPr>
                <w:rFonts w:hint="default" w:ascii="Times New Roman" w:hAnsi="Times New Roman" w:eastAsia="宋体" w:cs="Times New Roman"/>
                <w:kern w:val="0"/>
                <w:sz w:val="21"/>
                <w:szCs w:val="21"/>
              </w:rPr>
            </w:pPr>
          </w:p>
        </w:tc>
        <w:tc>
          <w:tcPr>
            <w:tcW w:w="715" w:type="pct"/>
            <w:vMerge w:val="restart"/>
            <w:tcBorders>
              <w:top w:val="single" w:color="auto" w:sz="8" w:space="0"/>
            </w:tcBorders>
            <w:vAlign w:val="center"/>
          </w:tcPr>
          <w:p w14:paraId="2B7D0C1C">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60</w:t>
            </w:r>
          </w:p>
        </w:tc>
        <w:tc>
          <w:tcPr>
            <w:tcW w:w="714" w:type="pct"/>
            <w:tcBorders>
              <w:top w:val="single" w:color="auto" w:sz="8" w:space="0"/>
            </w:tcBorders>
            <w:vAlign w:val="center"/>
          </w:tcPr>
          <w:p w14:paraId="77464684">
            <w:pPr>
              <w:pStyle w:val="76"/>
              <w:rPr>
                <w:rFonts w:hint="default" w:ascii="Times New Roman" w:hAnsi="Times New Roman" w:eastAsia="宋体" w:cs="Times New Roman"/>
                <w:kern w:val="0"/>
                <w:sz w:val="21"/>
                <w:szCs w:val="21"/>
              </w:rPr>
            </w:pPr>
          </w:p>
        </w:tc>
        <w:tc>
          <w:tcPr>
            <w:tcW w:w="714" w:type="pct"/>
            <w:tcBorders>
              <w:top w:val="single" w:color="auto" w:sz="8" w:space="0"/>
            </w:tcBorders>
            <w:shd w:val="clear" w:color="auto" w:fill="auto"/>
            <w:vAlign w:val="center"/>
          </w:tcPr>
          <w:p w14:paraId="5E0C2692">
            <w:pPr>
              <w:pStyle w:val="76"/>
              <w:rPr>
                <w:rFonts w:hint="default" w:ascii="Times New Roman" w:hAnsi="Times New Roman" w:eastAsia="宋体" w:cs="Times New Roman"/>
                <w:kern w:val="0"/>
                <w:sz w:val="21"/>
                <w:szCs w:val="21"/>
              </w:rPr>
            </w:pPr>
          </w:p>
        </w:tc>
      </w:tr>
      <w:tr w14:paraId="29BB4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4" w:type="pct"/>
            <w:vMerge w:val="continue"/>
            <w:shd w:val="clear" w:color="auto" w:fill="auto"/>
            <w:vAlign w:val="center"/>
          </w:tcPr>
          <w:p w14:paraId="480B70E5">
            <w:pPr>
              <w:pStyle w:val="76"/>
              <w:rPr>
                <w:rFonts w:hint="default" w:ascii="Times New Roman" w:hAnsi="Times New Roman" w:eastAsia="宋体" w:cs="Times New Roman"/>
                <w:kern w:val="0"/>
                <w:sz w:val="21"/>
                <w:szCs w:val="21"/>
              </w:rPr>
            </w:pPr>
          </w:p>
        </w:tc>
        <w:tc>
          <w:tcPr>
            <w:tcW w:w="714" w:type="pct"/>
            <w:vAlign w:val="center"/>
          </w:tcPr>
          <w:p w14:paraId="79F6CA1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715" w:type="pct"/>
            <w:shd w:val="clear" w:color="auto" w:fill="auto"/>
            <w:vAlign w:val="center"/>
          </w:tcPr>
          <w:p w14:paraId="0BB3F0CF">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1129F2DE">
            <w:pPr>
              <w:pStyle w:val="76"/>
              <w:rPr>
                <w:rFonts w:hint="default" w:ascii="Times New Roman" w:hAnsi="Times New Roman" w:eastAsia="宋体" w:cs="Times New Roman"/>
                <w:kern w:val="0"/>
                <w:sz w:val="21"/>
                <w:szCs w:val="21"/>
              </w:rPr>
            </w:pPr>
          </w:p>
        </w:tc>
        <w:tc>
          <w:tcPr>
            <w:tcW w:w="715" w:type="pct"/>
            <w:vMerge w:val="continue"/>
          </w:tcPr>
          <w:p w14:paraId="1156F4EF">
            <w:pPr>
              <w:pStyle w:val="76"/>
              <w:rPr>
                <w:rFonts w:hint="default" w:ascii="Times New Roman" w:hAnsi="Times New Roman" w:eastAsia="宋体" w:cs="Times New Roman"/>
                <w:kern w:val="0"/>
                <w:sz w:val="21"/>
                <w:szCs w:val="21"/>
              </w:rPr>
            </w:pPr>
          </w:p>
        </w:tc>
        <w:tc>
          <w:tcPr>
            <w:tcW w:w="714" w:type="pct"/>
            <w:vAlign w:val="center"/>
          </w:tcPr>
          <w:p w14:paraId="4FFF36D6">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0CE78A8F">
            <w:pPr>
              <w:pStyle w:val="76"/>
              <w:rPr>
                <w:rFonts w:hint="default" w:ascii="Times New Roman" w:hAnsi="Times New Roman" w:eastAsia="宋体" w:cs="Times New Roman"/>
                <w:kern w:val="0"/>
                <w:sz w:val="21"/>
                <w:szCs w:val="21"/>
              </w:rPr>
            </w:pPr>
          </w:p>
        </w:tc>
      </w:tr>
      <w:tr w14:paraId="0D2D5C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4" w:type="pct"/>
            <w:vMerge w:val="continue"/>
            <w:shd w:val="clear" w:color="auto" w:fill="auto"/>
            <w:vAlign w:val="center"/>
          </w:tcPr>
          <w:p w14:paraId="10F0F472">
            <w:pPr>
              <w:pStyle w:val="76"/>
              <w:rPr>
                <w:rFonts w:hint="default" w:ascii="Times New Roman" w:hAnsi="Times New Roman" w:eastAsia="宋体" w:cs="Times New Roman"/>
                <w:kern w:val="0"/>
                <w:sz w:val="21"/>
                <w:szCs w:val="21"/>
              </w:rPr>
            </w:pPr>
          </w:p>
        </w:tc>
        <w:tc>
          <w:tcPr>
            <w:tcW w:w="714" w:type="pct"/>
            <w:vAlign w:val="center"/>
          </w:tcPr>
          <w:p w14:paraId="06DE6626">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715" w:type="pct"/>
            <w:shd w:val="clear" w:color="auto" w:fill="auto"/>
            <w:vAlign w:val="center"/>
          </w:tcPr>
          <w:p w14:paraId="1D018424">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5E3725BA">
            <w:pPr>
              <w:pStyle w:val="76"/>
              <w:rPr>
                <w:rFonts w:hint="default" w:ascii="Times New Roman" w:hAnsi="Times New Roman" w:eastAsia="宋体" w:cs="Times New Roman"/>
                <w:kern w:val="0"/>
                <w:sz w:val="21"/>
                <w:szCs w:val="21"/>
              </w:rPr>
            </w:pPr>
          </w:p>
        </w:tc>
        <w:tc>
          <w:tcPr>
            <w:tcW w:w="715" w:type="pct"/>
            <w:vMerge w:val="continue"/>
          </w:tcPr>
          <w:p w14:paraId="04AF49CF">
            <w:pPr>
              <w:pStyle w:val="76"/>
              <w:rPr>
                <w:rFonts w:hint="default" w:ascii="Times New Roman" w:hAnsi="Times New Roman" w:eastAsia="宋体" w:cs="Times New Roman"/>
                <w:kern w:val="0"/>
                <w:sz w:val="21"/>
                <w:szCs w:val="21"/>
              </w:rPr>
            </w:pPr>
          </w:p>
        </w:tc>
        <w:tc>
          <w:tcPr>
            <w:tcW w:w="714" w:type="pct"/>
            <w:vAlign w:val="center"/>
          </w:tcPr>
          <w:p w14:paraId="53AF39A1">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0442AE82">
            <w:pPr>
              <w:pStyle w:val="76"/>
              <w:rPr>
                <w:rFonts w:hint="default" w:ascii="Times New Roman" w:hAnsi="Times New Roman" w:eastAsia="宋体" w:cs="Times New Roman"/>
                <w:kern w:val="0"/>
                <w:sz w:val="21"/>
                <w:szCs w:val="21"/>
              </w:rPr>
            </w:pPr>
          </w:p>
        </w:tc>
      </w:tr>
      <w:tr w14:paraId="0BF212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4" w:type="pct"/>
            <w:vMerge w:val="restart"/>
            <w:shd w:val="clear" w:color="auto" w:fill="auto"/>
            <w:vAlign w:val="center"/>
          </w:tcPr>
          <w:p w14:paraId="2046AD0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第二次测试</w:t>
            </w:r>
          </w:p>
        </w:tc>
        <w:tc>
          <w:tcPr>
            <w:tcW w:w="714" w:type="pct"/>
            <w:vAlign w:val="center"/>
          </w:tcPr>
          <w:p w14:paraId="5268D60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715" w:type="pct"/>
            <w:shd w:val="clear" w:color="auto" w:fill="auto"/>
            <w:vAlign w:val="center"/>
          </w:tcPr>
          <w:p w14:paraId="1AE6FD38">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2A8D15CD">
            <w:pPr>
              <w:pStyle w:val="76"/>
              <w:rPr>
                <w:rFonts w:hint="default" w:ascii="Times New Roman" w:hAnsi="Times New Roman" w:eastAsia="宋体" w:cs="Times New Roman"/>
                <w:kern w:val="0"/>
                <w:sz w:val="21"/>
                <w:szCs w:val="21"/>
              </w:rPr>
            </w:pPr>
          </w:p>
        </w:tc>
        <w:tc>
          <w:tcPr>
            <w:tcW w:w="715" w:type="pct"/>
            <w:vMerge w:val="continue"/>
          </w:tcPr>
          <w:p w14:paraId="018A25C1">
            <w:pPr>
              <w:pStyle w:val="76"/>
              <w:rPr>
                <w:rFonts w:hint="default" w:ascii="Times New Roman" w:hAnsi="Times New Roman" w:eastAsia="宋体" w:cs="Times New Roman"/>
                <w:kern w:val="0"/>
                <w:sz w:val="21"/>
                <w:szCs w:val="21"/>
              </w:rPr>
            </w:pPr>
          </w:p>
        </w:tc>
        <w:tc>
          <w:tcPr>
            <w:tcW w:w="714" w:type="pct"/>
            <w:vAlign w:val="center"/>
          </w:tcPr>
          <w:p w14:paraId="2BD70D25">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7420087A">
            <w:pPr>
              <w:pStyle w:val="76"/>
              <w:rPr>
                <w:rFonts w:hint="default" w:ascii="Times New Roman" w:hAnsi="Times New Roman" w:eastAsia="宋体" w:cs="Times New Roman"/>
                <w:kern w:val="0"/>
                <w:sz w:val="21"/>
                <w:szCs w:val="21"/>
              </w:rPr>
            </w:pPr>
          </w:p>
        </w:tc>
      </w:tr>
      <w:tr w14:paraId="0851BC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4" w:type="pct"/>
            <w:vMerge w:val="continue"/>
            <w:shd w:val="clear" w:color="auto" w:fill="auto"/>
            <w:vAlign w:val="center"/>
          </w:tcPr>
          <w:p w14:paraId="60CE597B">
            <w:pPr>
              <w:pStyle w:val="76"/>
              <w:rPr>
                <w:rFonts w:hint="default" w:ascii="Times New Roman" w:hAnsi="Times New Roman" w:eastAsia="宋体" w:cs="Times New Roman"/>
                <w:kern w:val="0"/>
                <w:sz w:val="21"/>
                <w:szCs w:val="21"/>
              </w:rPr>
            </w:pPr>
          </w:p>
        </w:tc>
        <w:tc>
          <w:tcPr>
            <w:tcW w:w="714" w:type="pct"/>
            <w:vAlign w:val="center"/>
          </w:tcPr>
          <w:p w14:paraId="674BB606">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715" w:type="pct"/>
            <w:shd w:val="clear" w:color="auto" w:fill="auto"/>
            <w:vAlign w:val="center"/>
          </w:tcPr>
          <w:p w14:paraId="5E92E50F">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446A6B55">
            <w:pPr>
              <w:pStyle w:val="76"/>
              <w:rPr>
                <w:rFonts w:hint="default" w:ascii="Times New Roman" w:hAnsi="Times New Roman" w:eastAsia="宋体" w:cs="Times New Roman"/>
                <w:kern w:val="0"/>
                <w:sz w:val="21"/>
                <w:szCs w:val="21"/>
              </w:rPr>
            </w:pPr>
          </w:p>
        </w:tc>
        <w:tc>
          <w:tcPr>
            <w:tcW w:w="715" w:type="pct"/>
            <w:vMerge w:val="continue"/>
          </w:tcPr>
          <w:p w14:paraId="41A47186">
            <w:pPr>
              <w:pStyle w:val="76"/>
              <w:rPr>
                <w:rFonts w:hint="default" w:ascii="Times New Roman" w:hAnsi="Times New Roman" w:eastAsia="宋体" w:cs="Times New Roman"/>
                <w:kern w:val="0"/>
                <w:sz w:val="21"/>
                <w:szCs w:val="21"/>
              </w:rPr>
            </w:pPr>
          </w:p>
        </w:tc>
        <w:tc>
          <w:tcPr>
            <w:tcW w:w="714" w:type="pct"/>
            <w:vAlign w:val="center"/>
          </w:tcPr>
          <w:p w14:paraId="5CA3ECC2">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17BEA878">
            <w:pPr>
              <w:pStyle w:val="76"/>
              <w:rPr>
                <w:rFonts w:hint="default" w:ascii="Times New Roman" w:hAnsi="Times New Roman" w:eastAsia="宋体" w:cs="Times New Roman"/>
                <w:kern w:val="0"/>
                <w:sz w:val="21"/>
                <w:szCs w:val="21"/>
              </w:rPr>
            </w:pPr>
          </w:p>
        </w:tc>
      </w:tr>
      <w:tr w14:paraId="431935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4" w:type="pct"/>
            <w:vMerge w:val="continue"/>
            <w:shd w:val="clear" w:color="auto" w:fill="auto"/>
            <w:vAlign w:val="center"/>
          </w:tcPr>
          <w:p w14:paraId="42C65541">
            <w:pPr>
              <w:pStyle w:val="76"/>
              <w:rPr>
                <w:rFonts w:hint="default" w:ascii="Times New Roman" w:hAnsi="Times New Roman" w:eastAsia="宋体" w:cs="Times New Roman"/>
                <w:kern w:val="0"/>
                <w:sz w:val="21"/>
                <w:szCs w:val="21"/>
              </w:rPr>
            </w:pPr>
          </w:p>
        </w:tc>
        <w:tc>
          <w:tcPr>
            <w:tcW w:w="714" w:type="pct"/>
            <w:vAlign w:val="center"/>
          </w:tcPr>
          <w:p w14:paraId="4DC16D96">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715" w:type="pct"/>
            <w:shd w:val="clear" w:color="auto" w:fill="auto"/>
            <w:vAlign w:val="center"/>
          </w:tcPr>
          <w:p w14:paraId="1095FE91">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6553C9CE">
            <w:pPr>
              <w:pStyle w:val="76"/>
              <w:rPr>
                <w:rFonts w:hint="default" w:ascii="Times New Roman" w:hAnsi="Times New Roman" w:eastAsia="宋体" w:cs="Times New Roman"/>
                <w:kern w:val="0"/>
                <w:sz w:val="21"/>
                <w:szCs w:val="21"/>
              </w:rPr>
            </w:pPr>
          </w:p>
        </w:tc>
        <w:tc>
          <w:tcPr>
            <w:tcW w:w="715" w:type="pct"/>
            <w:vMerge w:val="continue"/>
          </w:tcPr>
          <w:p w14:paraId="5A71C877">
            <w:pPr>
              <w:pStyle w:val="76"/>
              <w:rPr>
                <w:rFonts w:hint="default" w:ascii="Times New Roman" w:hAnsi="Times New Roman" w:eastAsia="宋体" w:cs="Times New Roman"/>
                <w:kern w:val="0"/>
                <w:sz w:val="21"/>
                <w:szCs w:val="21"/>
              </w:rPr>
            </w:pPr>
          </w:p>
        </w:tc>
        <w:tc>
          <w:tcPr>
            <w:tcW w:w="714" w:type="pct"/>
            <w:vAlign w:val="center"/>
          </w:tcPr>
          <w:p w14:paraId="5A2454E5">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3ED9C2F6">
            <w:pPr>
              <w:pStyle w:val="76"/>
              <w:rPr>
                <w:rFonts w:hint="default" w:ascii="Times New Roman" w:hAnsi="Times New Roman" w:eastAsia="宋体" w:cs="Times New Roman"/>
                <w:kern w:val="0"/>
                <w:sz w:val="21"/>
                <w:szCs w:val="21"/>
              </w:rPr>
            </w:pPr>
          </w:p>
        </w:tc>
      </w:tr>
      <w:tr w14:paraId="741002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4" w:type="pct"/>
            <w:vMerge w:val="restart"/>
            <w:shd w:val="clear" w:color="auto" w:fill="auto"/>
            <w:vAlign w:val="center"/>
          </w:tcPr>
          <w:p w14:paraId="3919E91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第三次测试</w:t>
            </w:r>
          </w:p>
        </w:tc>
        <w:tc>
          <w:tcPr>
            <w:tcW w:w="714" w:type="pct"/>
            <w:vAlign w:val="center"/>
          </w:tcPr>
          <w:p w14:paraId="320F3CB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715" w:type="pct"/>
            <w:shd w:val="clear" w:color="auto" w:fill="auto"/>
            <w:vAlign w:val="center"/>
          </w:tcPr>
          <w:p w14:paraId="0D983463">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231E6487">
            <w:pPr>
              <w:pStyle w:val="76"/>
              <w:rPr>
                <w:rFonts w:hint="default" w:ascii="Times New Roman" w:hAnsi="Times New Roman" w:eastAsia="宋体" w:cs="Times New Roman"/>
                <w:kern w:val="0"/>
                <w:sz w:val="21"/>
                <w:szCs w:val="21"/>
              </w:rPr>
            </w:pPr>
          </w:p>
        </w:tc>
        <w:tc>
          <w:tcPr>
            <w:tcW w:w="715" w:type="pct"/>
            <w:vMerge w:val="continue"/>
          </w:tcPr>
          <w:p w14:paraId="6003491C">
            <w:pPr>
              <w:pStyle w:val="76"/>
              <w:rPr>
                <w:rFonts w:hint="default" w:ascii="Times New Roman" w:hAnsi="Times New Roman" w:eastAsia="宋体" w:cs="Times New Roman"/>
                <w:kern w:val="0"/>
                <w:sz w:val="21"/>
                <w:szCs w:val="21"/>
              </w:rPr>
            </w:pPr>
          </w:p>
        </w:tc>
        <w:tc>
          <w:tcPr>
            <w:tcW w:w="714" w:type="pct"/>
            <w:vAlign w:val="center"/>
          </w:tcPr>
          <w:p w14:paraId="7918AE9B">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42EF5EAE">
            <w:pPr>
              <w:pStyle w:val="76"/>
              <w:rPr>
                <w:rFonts w:hint="default" w:ascii="Times New Roman" w:hAnsi="Times New Roman" w:eastAsia="宋体" w:cs="Times New Roman"/>
                <w:kern w:val="0"/>
                <w:sz w:val="21"/>
                <w:szCs w:val="21"/>
              </w:rPr>
            </w:pPr>
          </w:p>
        </w:tc>
      </w:tr>
      <w:tr w14:paraId="3A0067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4" w:type="pct"/>
            <w:vMerge w:val="continue"/>
            <w:shd w:val="clear" w:color="auto" w:fill="auto"/>
            <w:vAlign w:val="center"/>
          </w:tcPr>
          <w:p w14:paraId="252E08A0">
            <w:pPr>
              <w:pStyle w:val="76"/>
              <w:rPr>
                <w:rFonts w:hint="default" w:ascii="Times New Roman" w:hAnsi="Times New Roman" w:eastAsia="宋体" w:cs="Times New Roman"/>
                <w:kern w:val="0"/>
                <w:sz w:val="21"/>
                <w:szCs w:val="21"/>
              </w:rPr>
            </w:pPr>
          </w:p>
        </w:tc>
        <w:tc>
          <w:tcPr>
            <w:tcW w:w="714" w:type="pct"/>
            <w:vAlign w:val="center"/>
          </w:tcPr>
          <w:p w14:paraId="720D9FCA">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715" w:type="pct"/>
            <w:shd w:val="clear" w:color="auto" w:fill="auto"/>
            <w:vAlign w:val="center"/>
          </w:tcPr>
          <w:p w14:paraId="0FB7F508">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1F3FF612">
            <w:pPr>
              <w:pStyle w:val="76"/>
              <w:rPr>
                <w:rFonts w:hint="default" w:ascii="Times New Roman" w:hAnsi="Times New Roman" w:eastAsia="宋体" w:cs="Times New Roman"/>
                <w:kern w:val="0"/>
                <w:sz w:val="21"/>
                <w:szCs w:val="21"/>
              </w:rPr>
            </w:pPr>
          </w:p>
        </w:tc>
        <w:tc>
          <w:tcPr>
            <w:tcW w:w="715" w:type="pct"/>
            <w:vMerge w:val="continue"/>
          </w:tcPr>
          <w:p w14:paraId="73CFD2EC">
            <w:pPr>
              <w:pStyle w:val="76"/>
              <w:rPr>
                <w:rFonts w:hint="default" w:ascii="Times New Roman" w:hAnsi="Times New Roman" w:eastAsia="宋体" w:cs="Times New Roman"/>
                <w:kern w:val="0"/>
                <w:sz w:val="21"/>
                <w:szCs w:val="21"/>
              </w:rPr>
            </w:pPr>
          </w:p>
        </w:tc>
        <w:tc>
          <w:tcPr>
            <w:tcW w:w="714" w:type="pct"/>
            <w:vAlign w:val="center"/>
          </w:tcPr>
          <w:p w14:paraId="06DBA565">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3364B855">
            <w:pPr>
              <w:pStyle w:val="76"/>
              <w:rPr>
                <w:rFonts w:hint="default" w:ascii="Times New Roman" w:hAnsi="Times New Roman" w:eastAsia="宋体" w:cs="Times New Roman"/>
                <w:kern w:val="0"/>
                <w:sz w:val="21"/>
                <w:szCs w:val="21"/>
              </w:rPr>
            </w:pPr>
          </w:p>
        </w:tc>
      </w:tr>
      <w:tr w14:paraId="62ADF6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4" w:type="pct"/>
            <w:vMerge w:val="continue"/>
            <w:shd w:val="clear" w:color="auto" w:fill="auto"/>
            <w:vAlign w:val="center"/>
          </w:tcPr>
          <w:p w14:paraId="3C9EC649">
            <w:pPr>
              <w:pStyle w:val="76"/>
              <w:rPr>
                <w:rFonts w:hint="default" w:ascii="Times New Roman" w:hAnsi="Times New Roman" w:eastAsia="宋体" w:cs="Times New Roman"/>
                <w:kern w:val="0"/>
                <w:sz w:val="21"/>
                <w:szCs w:val="21"/>
              </w:rPr>
            </w:pPr>
          </w:p>
        </w:tc>
        <w:tc>
          <w:tcPr>
            <w:tcW w:w="714" w:type="pct"/>
            <w:vAlign w:val="center"/>
          </w:tcPr>
          <w:p w14:paraId="3229AF4B">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715" w:type="pct"/>
            <w:shd w:val="clear" w:color="auto" w:fill="auto"/>
            <w:vAlign w:val="center"/>
          </w:tcPr>
          <w:p w14:paraId="0436A2BF">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3F0E2C57">
            <w:pPr>
              <w:pStyle w:val="76"/>
              <w:rPr>
                <w:rFonts w:hint="default" w:ascii="Times New Roman" w:hAnsi="Times New Roman" w:eastAsia="宋体" w:cs="Times New Roman"/>
                <w:kern w:val="0"/>
                <w:sz w:val="21"/>
                <w:szCs w:val="21"/>
              </w:rPr>
            </w:pPr>
          </w:p>
        </w:tc>
        <w:tc>
          <w:tcPr>
            <w:tcW w:w="715" w:type="pct"/>
            <w:vMerge w:val="continue"/>
          </w:tcPr>
          <w:p w14:paraId="1DC7CCDD">
            <w:pPr>
              <w:pStyle w:val="76"/>
              <w:rPr>
                <w:rFonts w:hint="default" w:ascii="Times New Roman" w:hAnsi="Times New Roman" w:eastAsia="宋体" w:cs="Times New Roman"/>
                <w:kern w:val="0"/>
                <w:sz w:val="21"/>
                <w:szCs w:val="21"/>
              </w:rPr>
            </w:pPr>
          </w:p>
        </w:tc>
        <w:tc>
          <w:tcPr>
            <w:tcW w:w="714" w:type="pct"/>
            <w:vAlign w:val="center"/>
          </w:tcPr>
          <w:p w14:paraId="150B0A29">
            <w:pPr>
              <w:pStyle w:val="76"/>
              <w:rPr>
                <w:rFonts w:hint="default" w:ascii="Times New Roman" w:hAnsi="Times New Roman" w:eastAsia="宋体" w:cs="Times New Roman"/>
                <w:kern w:val="0"/>
                <w:sz w:val="21"/>
                <w:szCs w:val="21"/>
              </w:rPr>
            </w:pPr>
          </w:p>
        </w:tc>
        <w:tc>
          <w:tcPr>
            <w:tcW w:w="714" w:type="pct"/>
            <w:shd w:val="clear" w:color="auto" w:fill="auto"/>
            <w:vAlign w:val="center"/>
          </w:tcPr>
          <w:p w14:paraId="6391927F">
            <w:pPr>
              <w:pStyle w:val="76"/>
              <w:rPr>
                <w:rFonts w:hint="default" w:ascii="Times New Roman" w:hAnsi="Times New Roman" w:eastAsia="宋体" w:cs="Times New Roman"/>
                <w:kern w:val="0"/>
                <w:sz w:val="21"/>
                <w:szCs w:val="21"/>
              </w:rPr>
            </w:pPr>
          </w:p>
        </w:tc>
      </w:tr>
      <w:tr w14:paraId="2C0454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14" w:type="pct"/>
            <w:shd w:val="clear" w:color="auto" w:fill="auto"/>
            <w:vAlign w:val="center"/>
          </w:tcPr>
          <w:p w14:paraId="46D7F54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平均值</w:t>
            </w:r>
          </w:p>
        </w:tc>
        <w:tc>
          <w:tcPr>
            <w:tcW w:w="4286" w:type="pct"/>
            <w:gridSpan w:val="6"/>
            <w:vAlign w:val="center"/>
          </w:tcPr>
          <w:p w14:paraId="65E8B8BF">
            <w:pPr>
              <w:pStyle w:val="76"/>
              <w:rPr>
                <w:rFonts w:hint="default" w:ascii="Times New Roman" w:hAnsi="Times New Roman" w:eastAsia="宋体" w:cs="Times New Roman"/>
                <w:kern w:val="0"/>
                <w:sz w:val="21"/>
                <w:szCs w:val="21"/>
              </w:rPr>
            </w:pPr>
          </w:p>
        </w:tc>
      </w:tr>
    </w:tbl>
    <w:p w14:paraId="71BD246C">
      <w:pPr>
        <w:pStyle w:val="73"/>
        <w:ind w:firstLine="420"/>
      </w:pPr>
    </w:p>
    <w:p w14:paraId="4B776451">
      <w:pPr>
        <w:pStyle w:val="73"/>
        <w:ind w:firstLine="420"/>
      </w:pPr>
      <w:r>
        <w:rPr>
          <w:rFonts w:hint="eastAsia"/>
        </w:rPr>
        <w:t>液压油温升测试记录表见表</w:t>
      </w:r>
      <w:r>
        <w:rPr>
          <w:rFonts w:ascii="Times New Roman"/>
        </w:rPr>
        <w:t>A.</w:t>
      </w:r>
      <w:r>
        <w:rPr>
          <w:rFonts w:hint="eastAsia" w:ascii="Times New Roman"/>
        </w:rPr>
        <w:t>8</w:t>
      </w:r>
      <w:r>
        <w:rPr>
          <w:rFonts w:hint="eastAsia"/>
        </w:rPr>
        <w:t>。</w:t>
      </w:r>
    </w:p>
    <w:p w14:paraId="5BC1799D">
      <w:pPr>
        <w:pStyle w:val="75"/>
        <w:spacing w:before="156" w:after="156"/>
      </w:pPr>
      <w:bookmarkStart w:id="205" w:name="_Toc195545790"/>
      <w:r>
        <w:rPr>
          <w:rFonts w:hint="eastAsia"/>
        </w:rPr>
        <w:t>液压油温升测试记录表</w:t>
      </w:r>
      <w:bookmarkEnd w:id="205"/>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015"/>
        <w:gridCol w:w="3017"/>
        <w:gridCol w:w="3018"/>
      </w:tblGrid>
      <w:tr w14:paraId="0B826F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66" w:type="pct"/>
            <w:tcBorders>
              <w:bottom w:val="single" w:color="auto" w:sz="8" w:space="0"/>
            </w:tcBorders>
            <w:shd w:val="clear" w:color="auto" w:fill="auto"/>
            <w:vAlign w:val="center"/>
          </w:tcPr>
          <w:p w14:paraId="344AA28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次数</w:t>
            </w:r>
          </w:p>
        </w:tc>
        <w:tc>
          <w:tcPr>
            <w:tcW w:w="1667" w:type="pct"/>
            <w:tcBorders>
              <w:bottom w:val="single" w:color="auto" w:sz="8" w:space="0"/>
            </w:tcBorders>
            <w:shd w:val="clear" w:color="auto" w:fill="auto"/>
            <w:vAlign w:val="center"/>
          </w:tcPr>
          <w:p w14:paraId="2E4A359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油温测量值℃</w:t>
            </w:r>
          </w:p>
        </w:tc>
        <w:tc>
          <w:tcPr>
            <w:tcW w:w="1667" w:type="pct"/>
            <w:tcBorders>
              <w:bottom w:val="single" w:color="auto" w:sz="8" w:space="0"/>
            </w:tcBorders>
            <w:shd w:val="clear" w:color="auto" w:fill="auto"/>
            <w:vAlign w:val="center"/>
          </w:tcPr>
          <w:p w14:paraId="6FF7ABB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备注</w:t>
            </w:r>
          </w:p>
        </w:tc>
      </w:tr>
      <w:tr w14:paraId="565DDE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66" w:type="pct"/>
            <w:tcBorders>
              <w:top w:val="single" w:color="auto" w:sz="8" w:space="0"/>
              <w:bottom w:val="single" w:color="auto" w:sz="4" w:space="0"/>
            </w:tcBorders>
            <w:shd w:val="clear" w:color="auto" w:fill="auto"/>
            <w:vAlign w:val="center"/>
          </w:tcPr>
          <w:p w14:paraId="25ED358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1667" w:type="pct"/>
            <w:tcBorders>
              <w:top w:val="single" w:color="auto" w:sz="8" w:space="0"/>
              <w:bottom w:val="single" w:color="auto" w:sz="4" w:space="0"/>
            </w:tcBorders>
            <w:shd w:val="clear" w:color="auto" w:fill="auto"/>
            <w:vAlign w:val="center"/>
          </w:tcPr>
          <w:p w14:paraId="182A4F69">
            <w:pPr>
              <w:pStyle w:val="76"/>
              <w:rPr>
                <w:rFonts w:hint="default" w:ascii="Times New Roman" w:hAnsi="Times New Roman" w:eastAsia="宋体" w:cs="Times New Roman"/>
                <w:kern w:val="0"/>
                <w:sz w:val="21"/>
                <w:szCs w:val="21"/>
              </w:rPr>
            </w:pPr>
          </w:p>
        </w:tc>
        <w:tc>
          <w:tcPr>
            <w:tcW w:w="1667" w:type="pct"/>
            <w:tcBorders>
              <w:top w:val="single" w:color="auto" w:sz="8" w:space="0"/>
              <w:bottom w:val="single" w:color="auto" w:sz="4" w:space="0"/>
            </w:tcBorders>
            <w:shd w:val="clear" w:color="auto" w:fill="auto"/>
            <w:vAlign w:val="center"/>
          </w:tcPr>
          <w:p w14:paraId="2A3535CE">
            <w:pPr>
              <w:pStyle w:val="76"/>
              <w:rPr>
                <w:rFonts w:hint="default" w:ascii="Times New Roman" w:hAnsi="Times New Roman" w:eastAsia="宋体" w:cs="Times New Roman"/>
                <w:kern w:val="0"/>
                <w:sz w:val="21"/>
                <w:szCs w:val="21"/>
              </w:rPr>
            </w:pPr>
          </w:p>
        </w:tc>
      </w:tr>
      <w:tr w14:paraId="434EAE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66" w:type="pct"/>
            <w:tcBorders>
              <w:top w:val="single" w:color="auto" w:sz="4" w:space="0"/>
            </w:tcBorders>
            <w:shd w:val="clear" w:color="auto" w:fill="auto"/>
            <w:vAlign w:val="center"/>
          </w:tcPr>
          <w:p w14:paraId="6A2702B9">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1667" w:type="pct"/>
            <w:tcBorders>
              <w:top w:val="single" w:color="auto" w:sz="4" w:space="0"/>
            </w:tcBorders>
            <w:shd w:val="clear" w:color="auto" w:fill="auto"/>
            <w:vAlign w:val="center"/>
          </w:tcPr>
          <w:p w14:paraId="75A0549C">
            <w:pPr>
              <w:pStyle w:val="76"/>
              <w:rPr>
                <w:rFonts w:hint="default" w:ascii="Times New Roman" w:hAnsi="Times New Roman" w:eastAsia="宋体" w:cs="Times New Roman"/>
                <w:kern w:val="0"/>
                <w:sz w:val="21"/>
                <w:szCs w:val="21"/>
              </w:rPr>
            </w:pPr>
          </w:p>
        </w:tc>
        <w:tc>
          <w:tcPr>
            <w:tcW w:w="1667" w:type="pct"/>
            <w:tcBorders>
              <w:top w:val="single" w:color="auto" w:sz="4" w:space="0"/>
            </w:tcBorders>
            <w:shd w:val="clear" w:color="auto" w:fill="auto"/>
            <w:vAlign w:val="center"/>
          </w:tcPr>
          <w:p w14:paraId="22DAE9F9">
            <w:pPr>
              <w:pStyle w:val="76"/>
              <w:rPr>
                <w:rFonts w:hint="default" w:ascii="Times New Roman" w:hAnsi="Times New Roman" w:eastAsia="宋体" w:cs="Times New Roman"/>
                <w:kern w:val="0"/>
                <w:sz w:val="21"/>
                <w:szCs w:val="21"/>
              </w:rPr>
            </w:pPr>
          </w:p>
        </w:tc>
      </w:tr>
    </w:tbl>
    <w:p w14:paraId="30149E5C">
      <w:pPr>
        <w:pStyle w:val="75"/>
        <w:numPr>
          <w:ilvl w:val="0"/>
          <w:numId w:val="0"/>
        </w:numPr>
        <w:spacing w:before="156" w:after="156"/>
      </w:pPr>
      <w:bookmarkStart w:id="206" w:name="_Toc195545791"/>
      <w:r>
        <w:rPr>
          <w:rFonts w:hint="eastAsia"/>
        </w:rPr>
        <w:t>表A.8 液压油温升测试记录表</w:t>
      </w:r>
      <w:r>
        <w:rPr>
          <w:rFonts w:hint="eastAsia" w:ascii="宋体" w:hAnsi="宋体" w:eastAsia="宋体"/>
        </w:rPr>
        <w:t>（续）</w:t>
      </w:r>
      <w:bookmarkEnd w:id="206"/>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015"/>
        <w:gridCol w:w="3017"/>
        <w:gridCol w:w="3018"/>
      </w:tblGrid>
      <w:tr w14:paraId="37470E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66" w:type="pct"/>
            <w:tcBorders>
              <w:bottom w:val="single" w:color="auto" w:sz="8" w:space="0"/>
            </w:tcBorders>
            <w:shd w:val="clear" w:color="auto" w:fill="auto"/>
            <w:vAlign w:val="center"/>
          </w:tcPr>
          <w:p w14:paraId="4B25275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次数</w:t>
            </w:r>
          </w:p>
        </w:tc>
        <w:tc>
          <w:tcPr>
            <w:tcW w:w="1667" w:type="pct"/>
            <w:tcBorders>
              <w:bottom w:val="single" w:color="auto" w:sz="8" w:space="0"/>
            </w:tcBorders>
            <w:shd w:val="clear" w:color="auto" w:fill="auto"/>
            <w:vAlign w:val="center"/>
          </w:tcPr>
          <w:p w14:paraId="6B62CC8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油温测量值℃</w:t>
            </w:r>
          </w:p>
        </w:tc>
        <w:tc>
          <w:tcPr>
            <w:tcW w:w="1667" w:type="pct"/>
            <w:tcBorders>
              <w:bottom w:val="single" w:color="auto" w:sz="8" w:space="0"/>
            </w:tcBorders>
            <w:shd w:val="clear" w:color="auto" w:fill="auto"/>
            <w:vAlign w:val="center"/>
          </w:tcPr>
          <w:p w14:paraId="484C6EE4">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备注</w:t>
            </w:r>
          </w:p>
        </w:tc>
      </w:tr>
      <w:tr w14:paraId="35C827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66" w:type="pct"/>
            <w:shd w:val="clear" w:color="auto" w:fill="auto"/>
            <w:vAlign w:val="center"/>
          </w:tcPr>
          <w:p w14:paraId="6E650D8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667" w:type="pct"/>
            <w:shd w:val="clear" w:color="auto" w:fill="auto"/>
            <w:vAlign w:val="center"/>
          </w:tcPr>
          <w:p w14:paraId="35C51690">
            <w:pPr>
              <w:pStyle w:val="76"/>
              <w:rPr>
                <w:rFonts w:hint="default" w:ascii="Times New Roman" w:hAnsi="Times New Roman" w:eastAsia="宋体" w:cs="Times New Roman"/>
                <w:kern w:val="0"/>
                <w:sz w:val="21"/>
                <w:szCs w:val="21"/>
              </w:rPr>
            </w:pPr>
          </w:p>
        </w:tc>
        <w:tc>
          <w:tcPr>
            <w:tcW w:w="1667" w:type="pct"/>
            <w:shd w:val="clear" w:color="auto" w:fill="auto"/>
            <w:vAlign w:val="center"/>
          </w:tcPr>
          <w:p w14:paraId="64FF6B66">
            <w:pPr>
              <w:pStyle w:val="76"/>
              <w:rPr>
                <w:rFonts w:hint="default" w:ascii="Times New Roman" w:hAnsi="Times New Roman" w:eastAsia="宋体" w:cs="Times New Roman"/>
                <w:kern w:val="0"/>
                <w:sz w:val="21"/>
                <w:szCs w:val="21"/>
              </w:rPr>
            </w:pPr>
          </w:p>
        </w:tc>
      </w:tr>
      <w:tr w14:paraId="06C31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66" w:type="pct"/>
            <w:shd w:val="clear" w:color="auto" w:fill="auto"/>
            <w:vAlign w:val="center"/>
          </w:tcPr>
          <w:p w14:paraId="5A921F96">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平均（最后3次）</w:t>
            </w:r>
          </w:p>
        </w:tc>
        <w:tc>
          <w:tcPr>
            <w:tcW w:w="1667" w:type="pct"/>
            <w:shd w:val="clear" w:color="auto" w:fill="auto"/>
            <w:vAlign w:val="center"/>
          </w:tcPr>
          <w:p w14:paraId="32D2AE56">
            <w:pPr>
              <w:pStyle w:val="76"/>
              <w:rPr>
                <w:rFonts w:hint="default" w:ascii="Times New Roman" w:hAnsi="Times New Roman" w:eastAsia="宋体" w:cs="Times New Roman"/>
                <w:kern w:val="0"/>
                <w:sz w:val="21"/>
                <w:szCs w:val="21"/>
              </w:rPr>
            </w:pPr>
          </w:p>
        </w:tc>
        <w:tc>
          <w:tcPr>
            <w:tcW w:w="1667" w:type="pct"/>
            <w:shd w:val="clear" w:color="auto" w:fill="auto"/>
            <w:vAlign w:val="center"/>
          </w:tcPr>
          <w:p w14:paraId="5776E1D9">
            <w:pPr>
              <w:pStyle w:val="76"/>
              <w:rPr>
                <w:rFonts w:hint="default" w:ascii="Times New Roman" w:hAnsi="Times New Roman" w:eastAsia="宋体" w:cs="Times New Roman"/>
                <w:kern w:val="0"/>
                <w:sz w:val="21"/>
                <w:szCs w:val="21"/>
              </w:rPr>
            </w:pPr>
          </w:p>
        </w:tc>
      </w:tr>
    </w:tbl>
    <w:p w14:paraId="23073350"/>
    <w:p w14:paraId="363BFF63">
      <w:pPr>
        <w:pStyle w:val="73"/>
        <w:ind w:firstLine="420"/>
      </w:pPr>
      <w:r>
        <w:rPr>
          <w:rFonts w:hint="eastAsia"/>
        </w:rPr>
        <w:t>液压油污染度测试记录表见表</w:t>
      </w:r>
      <w:r>
        <w:rPr>
          <w:rFonts w:ascii="Times New Roman"/>
        </w:rPr>
        <w:t>A.</w:t>
      </w:r>
      <w:r>
        <w:rPr>
          <w:rFonts w:hint="eastAsia" w:ascii="Times New Roman"/>
        </w:rPr>
        <w:t>9</w:t>
      </w:r>
      <w:r>
        <w:rPr>
          <w:rFonts w:hint="eastAsia"/>
        </w:rPr>
        <w:t>。</w:t>
      </w:r>
    </w:p>
    <w:p w14:paraId="064A06FA">
      <w:pPr>
        <w:pStyle w:val="75"/>
        <w:spacing w:before="156" w:after="156"/>
      </w:pPr>
      <w:bookmarkStart w:id="207" w:name="_Toc195545792"/>
      <w:r>
        <w:rPr>
          <w:rFonts w:hint="eastAsia"/>
        </w:rPr>
        <w:t>液压油污染度测试记录表</w:t>
      </w:r>
      <w:bookmarkEnd w:id="207"/>
    </w:p>
    <w:tbl>
      <w:tblPr>
        <w:tblStyle w:val="24"/>
        <w:tblW w:w="933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66"/>
        <w:gridCol w:w="1867"/>
        <w:gridCol w:w="1867"/>
        <w:gridCol w:w="1867"/>
        <w:gridCol w:w="1867"/>
      </w:tblGrid>
      <w:tr w14:paraId="5B2AEB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66" w:type="dxa"/>
            <w:tcBorders>
              <w:top w:val="single" w:color="auto" w:sz="8" w:space="0"/>
              <w:bottom w:val="single" w:color="auto" w:sz="8" w:space="0"/>
            </w:tcBorders>
            <w:shd w:val="clear" w:color="auto" w:fill="auto"/>
            <w:vAlign w:val="center"/>
          </w:tcPr>
          <w:p w14:paraId="293134B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序号</w:t>
            </w:r>
          </w:p>
        </w:tc>
        <w:tc>
          <w:tcPr>
            <w:tcW w:w="1867" w:type="dxa"/>
            <w:tcBorders>
              <w:top w:val="single" w:color="auto" w:sz="8" w:space="0"/>
              <w:bottom w:val="single" w:color="auto" w:sz="8" w:space="0"/>
            </w:tcBorders>
            <w:shd w:val="clear" w:color="auto" w:fill="auto"/>
            <w:vAlign w:val="center"/>
          </w:tcPr>
          <w:p w14:paraId="5FC041C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项目</w:t>
            </w:r>
          </w:p>
        </w:tc>
        <w:tc>
          <w:tcPr>
            <w:tcW w:w="1867" w:type="dxa"/>
            <w:tcBorders>
              <w:top w:val="single" w:color="auto" w:sz="8" w:space="0"/>
              <w:bottom w:val="single" w:color="auto" w:sz="8" w:space="0"/>
            </w:tcBorders>
            <w:shd w:val="clear" w:color="auto" w:fill="auto"/>
            <w:vAlign w:val="center"/>
          </w:tcPr>
          <w:p w14:paraId="6DA814FB">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标准</w:t>
            </w:r>
          </w:p>
        </w:tc>
        <w:tc>
          <w:tcPr>
            <w:tcW w:w="1867" w:type="dxa"/>
            <w:tcBorders>
              <w:top w:val="single" w:color="auto" w:sz="8" w:space="0"/>
              <w:bottom w:val="single" w:color="auto" w:sz="8" w:space="0"/>
            </w:tcBorders>
            <w:shd w:val="clear" w:color="auto" w:fill="auto"/>
            <w:vAlign w:val="center"/>
          </w:tcPr>
          <w:p w14:paraId="6439C90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设计值</w:t>
            </w:r>
          </w:p>
        </w:tc>
        <w:tc>
          <w:tcPr>
            <w:tcW w:w="1867" w:type="dxa"/>
            <w:tcBorders>
              <w:top w:val="single" w:color="auto" w:sz="8" w:space="0"/>
              <w:bottom w:val="single" w:color="auto" w:sz="8" w:space="0"/>
            </w:tcBorders>
            <w:shd w:val="clear" w:color="auto" w:fill="auto"/>
            <w:vAlign w:val="center"/>
          </w:tcPr>
          <w:p w14:paraId="17E22ED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测试值</w:t>
            </w:r>
          </w:p>
        </w:tc>
      </w:tr>
      <w:tr w14:paraId="3B7E13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66" w:type="dxa"/>
            <w:tcBorders>
              <w:top w:val="single" w:color="auto" w:sz="8" w:space="0"/>
            </w:tcBorders>
            <w:shd w:val="clear" w:color="auto" w:fill="auto"/>
            <w:vAlign w:val="center"/>
          </w:tcPr>
          <w:p w14:paraId="18A7FC6B">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1867" w:type="dxa"/>
            <w:vMerge w:val="restart"/>
            <w:tcBorders>
              <w:top w:val="single" w:color="auto" w:sz="8" w:space="0"/>
            </w:tcBorders>
            <w:shd w:val="clear" w:color="auto" w:fill="auto"/>
            <w:vAlign w:val="center"/>
          </w:tcPr>
          <w:p w14:paraId="7F8B5B00">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液压油污染度</w:t>
            </w:r>
          </w:p>
        </w:tc>
        <w:tc>
          <w:tcPr>
            <w:tcW w:w="1867" w:type="dxa"/>
            <w:vMerge w:val="restart"/>
            <w:tcBorders>
              <w:top w:val="single" w:color="auto" w:sz="8" w:space="0"/>
            </w:tcBorders>
            <w:shd w:val="clear" w:color="auto" w:fill="auto"/>
            <w:vAlign w:val="center"/>
          </w:tcPr>
          <w:p w14:paraId="202F0FC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GB/T 14039</w:t>
            </w:r>
          </w:p>
        </w:tc>
        <w:tc>
          <w:tcPr>
            <w:tcW w:w="1867" w:type="dxa"/>
            <w:vMerge w:val="restart"/>
            <w:tcBorders>
              <w:top w:val="single" w:color="auto" w:sz="8" w:space="0"/>
            </w:tcBorders>
            <w:shd w:val="clear" w:color="auto" w:fill="auto"/>
            <w:vAlign w:val="center"/>
          </w:tcPr>
          <w:p w14:paraId="487E0E9A">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—/19/16</w:t>
            </w:r>
          </w:p>
        </w:tc>
        <w:tc>
          <w:tcPr>
            <w:tcW w:w="1867" w:type="dxa"/>
            <w:tcBorders>
              <w:top w:val="single" w:color="auto" w:sz="8" w:space="0"/>
            </w:tcBorders>
            <w:shd w:val="clear" w:color="auto" w:fill="auto"/>
            <w:vAlign w:val="center"/>
          </w:tcPr>
          <w:p w14:paraId="27030FB3">
            <w:pPr>
              <w:pStyle w:val="76"/>
              <w:rPr>
                <w:rFonts w:hint="default" w:ascii="Times New Roman" w:hAnsi="Times New Roman" w:eastAsia="宋体" w:cs="Times New Roman"/>
                <w:kern w:val="0"/>
                <w:sz w:val="21"/>
                <w:szCs w:val="21"/>
              </w:rPr>
            </w:pPr>
          </w:p>
        </w:tc>
      </w:tr>
      <w:tr w14:paraId="32E33A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66" w:type="dxa"/>
            <w:shd w:val="clear" w:color="auto" w:fill="auto"/>
            <w:vAlign w:val="center"/>
          </w:tcPr>
          <w:p w14:paraId="6EB0AF4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1867" w:type="dxa"/>
            <w:vMerge w:val="continue"/>
            <w:shd w:val="clear" w:color="auto" w:fill="auto"/>
            <w:vAlign w:val="center"/>
          </w:tcPr>
          <w:p w14:paraId="0B4226C5">
            <w:pPr>
              <w:pStyle w:val="76"/>
              <w:rPr>
                <w:rFonts w:hint="default" w:ascii="Times New Roman" w:hAnsi="Times New Roman" w:eastAsia="宋体" w:cs="Times New Roman"/>
                <w:kern w:val="0"/>
                <w:sz w:val="21"/>
                <w:szCs w:val="21"/>
              </w:rPr>
            </w:pPr>
          </w:p>
        </w:tc>
        <w:tc>
          <w:tcPr>
            <w:tcW w:w="1867" w:type="dxa"/>
            <w:vMerge w:val="continue"/>
            <w:shd w:val="clear" w:color="auto" w:fill="auto"/>
            <w:vAlign w:val="center"/>
          </w:tcPr>
          <w:p w14:paraId="03D6088B">
            <w:pPr>
              <w:pStyle w:val="76"/>
              <w:rPr>
                <w:rFonts w:hint="default" w:ascii="Times New Roman" w:hAnsi="Times New Roman" w:eastAsia="宋体" w:cs="Times New Roman"/>
                <w:kern w:val="0"/>
                <w:sz w:val="21"/>
                <w:szCs w:val="21"/>
              </w:rPr>
            </w:pPr>
          </w:p>
        </w:tc>
        <w:tc>
          <w:tcPr>
            <w:tcW w:w="1867" w:type="dxa"/>
            <w:vMerge w:val="continue"/>
            <w:shd w:val="clear" w:color="auto" w:fill="auto"/>
            <w:vAlign w:val="center"/>
          </w:tcPr>
          <w:p w14:paraId="45128015">
            <w:pPr>
              <w:pStyle w:val="76"/>
              <w:rPr>
                <w:rFonts w:hint="default" w:ascii="Times New Roman" w:hAnsi="Times New Roman" w:eastAsia="宋体" w:cs="Times New Roman"/>
                <w:kern w:val="0"/>
                <w:sz w:val="21"/>
                <w:szCs w:val="21"/>
              </w:rPr>
            </w:pPr>
          </w:p>
        </w:tc>
        <w:tc>
          <w:tcPr>
            <w:tcW w:w="1867" w:type="dxa"/>
            <w:shd w:val="clear" w:color="auto" w:fill="auto"/>
            <w:vAlign w:val="center"/>
          </w:tcPr>
          <w:p w14:paraId="71C87952">
            <w:pPr>
              <w:pStyle w:val="76"/>
              <w:rPr>
                <w:rFonts w:hint="default" w:ascii="Times New Roman" w:hAnsi="Times New Roman" w:eastAsia="宋体" w:cs="Times New Roman"/>
                <w:kern w:val="0"/>
                <w:sz w:val="21"/>
                <w:szCs w:val="21"/>
              </w:rPr>
            </w:pPr>
          </w:p>
        </w:tc>
      </w:tr>
      <w:tr w14:paraId="77B346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66" w:type="dxa"/>
            <w:shd w:val="clear" w:color="auto" w:fill="auto"/>
            <w:vAlign w:val="center"/>
          </w:tcPr>
          <w:p w14:paraId="52564F0F">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w:t>
            </w:r>
          </w:p>
        </w:tc>
        <w:tc>
          <w:tcPr>
            <w:tcW w:w="1867" w:type="dxa"/>
            <w:vMerge w:val="continue"/>
            <w:shd w:val="clear" w:color="auto" w:fill="auto"/>
            <w:vAlign w:val="center"/>
          </w:tcPr>
          <w:p w14:paraId="5423C851">
            <w:pPr>
              <w:pStyle w:val="76"/>
              <w:rPr>
                <w:rFonts w:hint="default" w:ascii="Times New Roman" w:hAnsi="Times New Roman" w:eastAsia="宋体" w:cs="Times New Roman"/>
                <w:kern w:val="0"/>
                <w:sz w:val="21"/>
                <w:szCs w:val="21"/>
              </w:rPr>
            </w:pPr>
          </w:p>
        </w:tc>
        <w:tc>
          <w:tcPr>
            <w:tcW w:w="1867" w:type="dxa"/>
            <w:vMerge w:val="continue"/>
            <w:shd w:val="clear" w:color="auto" w:fill="auto"/>
            <w:vAlign w:val="center"/>
          </w:tcPr>
          <w:p w14:paraId="7BC8AB68">
            <w:pPr>
              <w:pStyle w:val="76"/>
              <w:rPr>
                <w:rFonts w:hint="default" w:ascii="Times New Roman" w:hAnsi="Times New Roman" w:eastAsia="宋体" w:cs="Times New Roman"/>
                <w:kern w:val="0"/>
                <w:sz w:val="21"/>
                <w:szCs w:val="21"/>
              </w:rPr>
            </w:pPr>
          </w:p>
        </w:tc>
        <w:tc>
          <w:tcPr>
            <w:tcW w:w="1867" w:type="dxa"/>
            <w:vMerge w:val="continue"/>
            <w:shd w:val="clear" w:color="auto" w:fill="auto"/>
            <w:vAlign w:val="center"/>
          </w:tcPr>
          <w:p w14:paraId="5C64A8C5">
            <w:pPr>
              <w:pStyle w:val="76"/>
              <w:rPr>
                <w:rFonts w:hint="default" w:ascii="Times New Roman" w:hAnsi="Times New Roman" w:eastAsia="宋体" w:cs="Times New Roman"/>
                <w:kern w:val="0"/>
                <w:sz w:val="21"/>
                <w:szCs w:val="21"/>
              </w:rPr>
            </w:pPr>
          </w:p>
        </w:tc>
        <w:tc>
          <w:tcPr>
            <w:tcW w:w="1867" w:type="dxa"/>
            <w:shd w:val="clear" w:color="auto" w:fill="auto"/>
            <w:vAlign w:val="center"/>
          </w:tcPr>
          <w:p w14:paraId="1CAB6E4D">
            <w:pPr>
              <w:pStyle w:val="76"/>
              <w:rPr>
                <w:rFonts w:hint="default" w:ascii="Times New Roman" w:hAnsi="Times New Roman" w:eastAsia="宋体" w:cs="Times New Roman"/>
                <w:kern w:val="0"/>
                <w:sz w:val="21"/>
                <w:szCs w:val="21"/>
              </w:rPr>
            </w:pPr>
          </w:p>
        </w:tc>
      </w:tr>
    </w:tbl>
    <w:p w14:paraId="33A69379"/>
    <w:p w14:paraId="470F0FB9">
      <w:pPr>
        <w:pStyle w:val="73"/>
        <w:ind w:firstLine="420"/>
      </w:pPr>
      <w:r>
        <w:rPr>
          <w:rFonts w:hint="eastAsia"/>
        </w:rPr>
        <w:t>支承系统导向功能测试记录表见表</w:t>
      </w:r>
      <w:r>
        <w:rPr>
          <w:rFonts w:ascii="Times New Roman"/>
        </w:rPr>
        <w:t>A.</w:t>
      </w:r>
      <w:r>
        <w:rPr>
          <w:rFonts w:hint="eastAsia" w:ascii="Times New Roman"/>
        </w:rPr>
        <w:t>10</w:t>
      </w:r>
      <w:r>
        <w:rPr>
          <w:rFonts w:hint="eastAsia"/>
        </w:rPr>
        <w:t>。</w:t>
      </w:r>
    </w:p>
    <w:p w14:paraId="5EE3E467">
      <w:pPr>
        <w:pStyle w:val="75"/>
        <w:spacing w:before="156" w:after="156"/>
      </w:pPr>
      <w:bookmarkStart w:id="208" w:name="_Toc195545793"/>
      <w:r>
        <w:rPr>
          <w:rFonts w:hint="eastAsia"/>
        </w:rPr>
        <w:t>支承系统导向功能测试记录表</w:t>
      </w:r>
      <w:bookmarkEnd w:id="208"/>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713"/>
        <w:gridCol w:w="1274"/>
        <w:gridCol w:w="1272"/>
        <w:gridCol w:w="1276"/>
        <w:gridCol w:w="1640"/>
        <w:gridCol w:w="1511"/>
        <w:gridCol w:w="1364"/>
      </w:tblGrid>
      <w:tr w14:paraId="0A8E0A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tblHeader/>
          <w:jc w:val="center"/>
        </w:trPr>
        <w:tc>
          <w:tcPr>
            <w:tcW w:w="394" w:type="pct"/>
            <w:vMerge w:val="restart"/>
            <w:shd w:val="clear" w:color="auto" w:fill="auto"/>
            <w:vAlign w:val="center"/>
          </w:tcPr>
          <w:p w14:paraId="3F4D77D8">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序号</w:t>
            </w:r>
          </w:p>
        </w:tc>
        <w:tc>
          <w:tcPr>
            <w:tcW w:w="2112" w:type="pct"/>
            <w:gridSpan w:val="3"/>
            <w:vAlign w:val="center"/>
          </w:tcPr>
          <w:p w14:paraId="19FB6ED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水平距离mm</w:t>
            </w:r>
          </w:p>
        </w:tc>
        <w:tc>
          <w:tcPr>
            <w:tcW w:w="906" w:type="pct"/>
            <w:vMerge w:val="restart"/>
            <w:vAlign w:val="center"/>
          </w:tcPr>
          <w:p w14:paraId="5DD6F72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水平距离平均值</w:t>
            </w:r>
          </w:p>
          <w:p w14:paraId="1AD3977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mm</w:t>
            </w:r>
          </w:p>
        </w:tc>
        <w:tc>
          <w:tcPr>
            <w:tcW w:w="835" w:type="pct"/>
            <w:vMerge w:val="restart"/>
            <w:shd w:val="clear" w:color="auto" w:fill="auto"/>
            <w:vAlign w:val="center"/>
          </w:tcPr>
          <w:p w14:paraId="426667FA">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水平间距是否满足要求（是/否）</w:t>
            </w:r>
          </w:p>
        </w:tc>
        <w:tc>
          <w:tcPr>
            <w:tcW w:w="753" w:type="pct"/>
            <w:vMerge w:val="restart"/>
            <w:vAlign w:val="center"/>
          </w:tcPr>
          <w:p w14:paraId="6DAFC10D">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备注</w:t>
            </w:r>
          </w:p>
        </w:tc>
      </w:tr>
      <w:tr w14:paraId="304D38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tblHeader/>
          <w:jc w:val="center"/>
        </w:trPr>
        <w:tc>
          <w:tcPr>
            <w:tcW w:w="394" w:type="pct"/>
            <w:vMerge w:val="continue"/>
            <w:tcBorders>
              <w:bottom w:val="single" w:color="auto" w:sz="8" w:space="0"/>
            </w:tcBorders>
            <w:shd w:val="clear" w:color="auto" w:fill="auto"/>
            <w:vAlign w:val="center"/>
          </w:tcPr>
          <w:p w14:paraId="063F71D9">
            <w:pPr>
              <w:pStyle w:val="76"/>
              <w:rPr>
                <w:rFonts w:hint="default" w:ascii="Times New Roman" w:hAnsi="Times New Roman" w:eastAsia="宋体" w:cs="Times New Roman"/>
                <w:kern w:val="0"/>
                <w:sz w:val="21"/>
                <w:szCs w:val="21"/>
              </w:rPr>
            </w:pPr>
          </w:p>
        </w:tc>
        <w:tc>
          <w:tcPr>
            <w:tcW w:w="704" w:type="pct"/>
            <w:tcBorders>
              <w:bottom w:val="single" w:color="auto" w:sz="8" w:space="0"/>
            </w:tcBorders>
            <w:vAlign w:val="center"/>
          </w:tcPr>
          <w:p w14:paraId="4AFF3C3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测点1</w:t>
            </w:r>
          </w:p>
        </w:tc>
        <w:tc>
          <w:tcPr>
            <w:tcW w:w="703" w:type="pct"/>
            <w:tcBorders>
              <w:bottom w:val="single" w:color="auto" w:sz="8" w:space="0"/>
            </w:tcBorders>
            <w:vAlign w:val="center"/>
          </w:tcPr>
          <w:p w14:paraId="3CB6E90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测点2</w:t>
            </w:r>
          </w:p>
        </w:tc>
        <w:tc>
          <w:tcPr>
            <w:tcW w:w="705" w:type="pct"/>
            <w:tcBorders>
              <w:bottom w:val="single" w:color="auto" w:sz="8" w:space="0"/>
            </w:tcBorders>
            <w:vAlign w:val="center"/>
          </w:tcPr>
          <w:p w14:paraId="50163E2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测点3</w:t>
            </w:r>
          </w:p>
        </w:tc>
        <w:tc>
          <w:tcPr>
            <w:tcW w:w="906" w:type="pct"/>
            <w:vMerge w:val="continue"/>
            <w:tcBorders>
              <w:bottom w:val="single" w:color="auto" w:sz="8" w:space="0"/>
            </w:tcBorders>
            <w:vAlign w:val="center"/>
          </w:tcPr>
          <w:p w14:paraId="005A659D">
            <w:pPr>
              <w:pStyle w:val="76"/>
              <w:rPr>
                <w:rFonts w:hint="default" w:ascii="Times New Roman" w:hAnsi="Times New Roman" w:eastAsia="宋体" w:cs="Times New Roman"/>
                <w:kern w:val="0"/>
                <w:sz w:val="21"/>
                <w:szCs w:val="21"/>
              </w:rPr>
            </w:pPr>
          </w:p>
        </w:tc>
        <w:tc>
          <w:tcPr>
            <w:tcW w:w="835" w:type="pct"/>
            <w:vMerge w:val="continue"/>
            <w:tcBorders>
              <w:bottom w:val="single" w:color="auto" w:sz="8" w:space="0"/>
            </w:tcBorders>
            <w:shd w:val="clear" w:color="auto" w:fill="auto"/>
            <w:vAlign w:val="center"/>
          </w:tcPr>
          <w:p w14:paraId="26F8E18C">
            <w:pPr>
              <w:pStyle w:val="76"/>
              <w:rPr>
                <w:rFonts w:hint="default" w:ascii="Times New Roman" w:hAnsi="Times New Roman" w:eastAsia="宋体" w:cs="Times New Roman"/>
                <w:kern w:val="0"/>
                <w:sz w:val="21"/>
                <w:szCs w:val="21"/>
              </w:rPr>
            </w:pPr>
          </w:p>
        </w:tc>
        <w:tc>
          <w:tcPr>
            <w:tcW w:w="753" w:type="pct"/>
            <w:vMerge w:val="continue"/>
            <w:tcBorders>
              <w:bottom w:val="single" w:color="auto" w:sz="8" w:space="0"/>
            </w:tcBorders>
            <w:vAlign w:val="center"/>
          </w:tcPr>
          <w:p w14:paraId="34F18377">
            <w:pPr>
              <w:pStyle w:val="76"/>
              <w:rPr>
                <w:rFonts w:hint="default" w:ascii="Times New Roman" w:hAnsi="Times New Roman" w:eastAsia="宋体" w:cs="Times New Roman"/>
                <w:kern w:val="0"/>
                <w:sz w:val="21"/>
                <w:szCs w:val="21"/>
              </w:rPr>
            </w:pPr>
          </w:p>
        </w:tc>
      </w:tr>
      <w:tr w14:paraId="7156C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94" w:type="pct"/>
            <w:tcBorders>
              <w:top w:val="single" w:color="auto" w:sz="8" w:space="0"/>
              <w:bottom w:val="single" w:color="auto" w:sz="4" w:space="0"/>
            </w:tcBorders>
            <w:shd w:val="clear" w:color="auto" w:fill="auto"/>
            <w:vAlign w:val="center"/>
          </w:tcPr>
          <w:p w14:paraId="1D83695D">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704" w:type="pct"/>
            <w:tcBorders>
              <w:top w:val="single" w:color="auto" w:sz="8" w:space="0"/>
              <w:bottom w:val="single" w:color="auto" w:sz="4" w:space="0"/>
            </w:tcBorders>
            <w:vAlign w:val="center"/>
          </w:tcPr>
          <w:p w14:paraId="556DD094">
            <w:pPr>
              <w:pStyle w:val="76"/>
              <w:rPr>
                <w:rFonts w:hint="default" w:ascii="Times New Roman" w:hAnsi="Times New Roman" w:eastAsia="宋体" w:cs="Times New Roman"/>
                <w:kern w:val="0"/>
                <w:sz w:val="21"/>
                <w:szCs w:val="21"/>
              </w:rPr>
            </w:pPr>
          </w:p>
        </w:tc>
        <w:tc>
          <w:tcPr>
            <w:tcW w:w="703" w:type="pct"/>
            <w:tcBorders>
              <w:top w:val="single" w:color="auto" w:sz="8" w:space="0"/>
              <w:bottom w:val="single" w:color="auto" w:sz="4" w:space="0"/>
            </w:tcBorders>
            <w:vAlign w:val="center"/>
          </w:tcPr>
          <w:p w14:paraId="70E795A7">
            <w:pPr>
              <w:pStyle w:val="76"/>
              <w:rPr>
                <w:rFonts w:hint="default" w:ascii="Times New Roman" w:hAnsi="Times New Roman" w:eastAsia="宋体" w:cs="Times New Roman"/>
                <w:kern w:val="0"/>
                <w:sz w:val="21"/>
                <w:szCs w:val="21"/>
              </w:rPr>
            </w:pPr>
          </w:p>
        </w:tc>
        <w:tc>
          <w:tcPr>
            <w:tcW w:w="705" w:type="pct"/>
            <w:tcBorders>
              <w:top w:val="single" w:color="auto" w:sz="8" w:space="0"/>
              <w:bottom w:val="single" w:color="auto" w:sz="4" w:space="0"/>
            </w:tcBorders>
            <w:shd w:val="clear" w:color="auto" w:fill="auto"/>
            <w:vAlign w:val="center"/>
          </w:tcPr>
          <w:p w14:paraId="7F652A57">
            <w:pPr>
              <w:pStyle w:val="76"/>
              <w:rPr>
                <w:rFonts w:hint="default" w:ascii="Times New Roman" w:hAnsi="Times New Roman" w:eastAsia="宋体" w:cs="Times New Roman"/>
                <w:kern w:val="0"/>
                <w:sz w:val="21"/>
                <w:szCs w:val="21"/>
              </w:rPr>
            </w:pPr>
          </w:p>
        </w:tc>
        <w:tc>
          <w:tcPr>
            <w:tcW w:w="906" w:type="pct"/>
            <w:tcBorders>
              <w:top w:val="single" w:color="auto" w:sz="8" w:space="0"/>
              <w:bottom w:val="single" w:color="auto" w:sz="4" w:space="0"/>
            </w:tcBorders>
            <w:vAlign w:val="center"/>
          </w:tcPr>
          <w:p w14:paraId="6716436A">
            <w:pPr>
              <w:pStyle w:val="76"/>
              <w:rPr>
                <w:rFonts w:hint="default" w:ascii="Times New Roman" w:hAnsi="Times New Roman" w:eastAsia="宋体" w:cs="Times New Roman"/>
                <w:kern w:val="0"/>
                <w:sz w:val="21"/>
                <w:szCs w:val="21"/>
              </w:rPr>
            </w:pPr>
          </w:p>
        </w:tc>
        <w:tc>
          <w:tcPr>
            <w:tcW w:w="835" w:type="pct"/>
            <w:tcBorders>
              <w:top w:val="single" w:color="auto" w:sz="8" w:space="0"/>
              <w:bottom w:val="single" w:color="auto" w:sz="4" w:space="0"/>
            </w:tcBorders>
            <w:vAlign w:val="center"/>
          </w:tcPr>
          <w:p w14:paraId="5C25246E">
            <w:pPr>
              <w:pStyle w:val="76"/>
              <w:rPr>
                <w:rFonts w:hint="default" w:ascii="Times New Roman" w:hAnsi="Times New Roman" w:eastAsia="宋体" w:cs="Times New Roman"/>
                <w:kern w:val="0"/>
                <w:sz w:val="21"/>
                <w:szCs w:val="21"/>
              </w:rPr>
            </w:pPr>
          </w:p>
        </w:tc>
        <w:tc>
          <w:tcPr>
            <w:tcW w:w="753" w:type="pct"/>
            <w:tcBorders>
              <w:top w:val="single" w:color="auto" w:sz="8" w:space="0"/>
              <w:bottom w:val="single" w:color="auto" w:sz="4" w:space="0"/>
            </w:tcBorders>
            <w:vAlign w:val="center"/>
          </w:tcPr>
          <w:p w14:paraId="17F37185">
            <w:pPr>
              <w:pStyle w:val="76"/>
              <w:rPr>
                <w:rFonts w:hint="default" w:ascii="Times New Roman" w:hAnsi="Times New Roman" w:eastAsia="宋体" w:cs="Times New Roman"/>
                <w:kern w:val="0"/>
                <w:sz w:val="21"/>
                <w:szCs w:val="21"/>
              </w:rPr>
            </w:pPr>
          </w:p>
        </w:tc>
      </w:tr>
      <w:tr w14:paraId="5EC8FA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94" w:type="pct"/>
            <w:tcBorders>
              <w:top w:val="single" w:color="auto" w:sz="4" w:space="0"/>
            </w:tcBorders>
            <w:shd w:val="clear" w:color="auto" w:fill="auto"/>
            <w:vAlign w:val="center"/>
          </w:tcPr>
          <w:p w14:paraId="2856929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704" w:type="pct"/>
            <w:tcBorders>
              <w:top w:val="single" w:color="auto" w:sz="4" w:space="0"/>
            </w:tcBorders>
            <w:vAlign w:val="center"/>
          </w:tcPr>
          <w:p w14:paraId="1C41B97E">
            <w:pPr>
              <w:pStyle w:val="76"/>
              <w:rPr>
                <w:rFonts w:hint="default" w:ascii="Times New Roman" w:hAnsi="Times New Roman" w:eastAsia="宋体" w:cs="Times New Roman"/>
                <w:kern w:val="0"/>
                <w:sz w:val="21"/>
                <w:szCs w:val="21"/>
              </w:rPr>
            </w:pPr>
          </w:p>
        </w:tc>
        <w:tc>
          <w:tcPr>
            <w:tcW w:w="703" w:type="pct"/>
            <w:tcBorders>
              <w:top w:val="single" w:color="auto" w:sz="4" w:space="0"/>
            </w:tcBorders>
            <w:vAlign w:val="center"/>
          </w:tcPr>
          <w:p w14:paraId="2075D112">
            <w:pPr>
              <w:pStyle w:val="76"/>
              <w:rPr>
                <w:rFonts w:hint="default" w:ascii="Times New Roman" w:hAnsi="Times New Roman" w:eastAsia="宋体" w:cs="Times New Roman"/>
                <w:kern w:val="0"/>
                <w:sz w:val="21"/>
                <w:szCs w:val="21"/>
              </w:rPr>
            </w:pPr>
          </w:p>
        </w:tc>
        <w:tc>
          <w:tcPr>
            <w:tcW w:w="705" w:type="pct"/>
            <w:tcBorders>
              <w:top w:val="single" w:color="auto" w:sz="4" w:space="0"/>
            </w:tcBorders>
            <w:shd w:val="clear" w:color="auto" w:fill="auto"/>
            <w:vAlign w:val="center"/>
          </w:tcPr>
          <w:p w14:paraId="62E25F27">
            <w:pPr>
              <w:pStyle w:val="76"/>
              <w:rPr>
                <w:rFonts w:hint="default" w:ascii="Times New Roman" w:hAnsi="Times New Roman" w:eastAsia="宋体" w:cs="Times New Roman"/>
                <w:kern w:val="0"/>
                <w:sz w:val="21"/>
                <w:szCs w:val="21"/>
              </w:rPr>
            </w:pPr>
          </w:p>
        </w:tc>
        <w:tc>
          <w:tcPr>
            <w:tcW w:w="906" w:type="pct"/>
            <w:tcBorders>
              <w:top w:val="single" w:color="auto" w:sz="4" w:space="0"/>
            </w:tcBorders>
            <w:vAlign w:val="center"/>
          </w:tcPr>
          <w:p w14:paraId="21693D2D">
            <w:pPr>
              <w:pStyle w:val="76"/>
              <w:rPr>
                <w:rFonts w:hint="default" w:ascii="Times New Roman" w:hAnsi="Times New Roman" w:eastAsia="宋体" w:cs="Times New Roman"/>
                <w:kern w:val="0"/>
                <w:sz w:val="21"/>
                <w:szCs w:val="21"/>
              </w:rPr>
            </w:pPr>
          </w:p>
        </w:tc>
        <w:tc>
          <w:tcPr>
            <w:tcW w:w="835" w:type="pct"/>
            <w:tcBorders>
              <w:top w:val="single" w:color="auto" w:sz="4" w:space="0"/>
            </w:tcBorders>
            <w:vAlign w:val="center"/>
          </w:tcPr>
          <w:p w14:paraId="5D5CB14D">
            <w:pPr>
              <w:pStyle w:val="76"/>
              <w:rPr>
                <w:rFonts w:hint="default" w:ascii="Times New Roman" w:hAnsi="Times New Roman" w:eastAsia="宋体" w:cs="Times New Roman"/>
                <w:kern w:val="0"/>
                <w:sz w:val="21"/>
                <w:szCs w:val="21"/>
              </w:rPr>
            </w:pPr>
          </w:p>
        </w:tc>
        <w:tc>
          <w:tcPr>
            <w:tcW w:w="753" w:type="pct"/>
            <w:tcBorders>
              <w:top w:val="single" w:color="auto" w:sz="4" w:space="0"/>
            </w:tcBorders>
            <w:vAlign w:val="center"/>
          </w:tcPr>
          <w:p w14:paraId="480ABB87">
            <w:pPr>
              <w:pStyle w:val="76"/>
              <w:rPr>
                <w:rFonts w:hint="default" w:ascii="Times New Roman" w:hAnsi="Times New Roman" w:eastAsia="宋体" w:cs="Times New Roman"/>
                <w:kern w:val="0"/>
                <w:sz w:val="21"/>
                <w:szCs w:val="21"/>
              </w:rPr>
            </w:pPr>
          </w:p>
        </w:tc>
      </w:tr>
      <w:tr w14:paraId="519761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94" w:type="pct"/>
            <w:shd w:val="clear" w:color="auto" w:fill="auto"/>
            <w:vAlign w:val="center"/>
          </w:tcPr>
          <w:p w14:paraId="5F48168D">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704" w:type="pct"/>
            <w:vAlign w:val="center"/>
          </w:tcPr>
          <w:p w14:paraId="6B95FCA8">
            <w:pPr>
              <w:pStyle w:val="76"/>
              <w:rPr>
                <w:rFonts w:hint="default" w:ascii="Times New Roman" w:hAnsi="Times New Roman" w:eastAsia="宋体" w:cs="Times New Roman"/>
                <w:kern w:val="0"/>
                <w:sz w:val="21"/>
                <w:szCs w:val="21"/>
              </w:rPr>
            </w:pPr>
          </w:p>
        </w:tc>
        <w:tc>
          <w:tcPr>
            <w:tcW w:w="703" w:type="pct"/>
            <w:vAlign w:val="center"/>
          </w:tcPr>
          <w:p w14:paraId="740AA646">
            <w:pPr>
              <w:pStyle w:val="76"/>
              <w:rPr>
                <w:rFonts w:hint="default" w:ascii="Times New Roman" w:hAnsi="Times New Roman" w:eastAsia="宋体" w:cs="Times New Roman"/>
                <w:kern w:val="0"/>
                <w:sz w:val="21"/>
                <w:szCs w:val="21"/>
              </w:rPr>
            </w:pPr>
          </w:p>
        </w:tc>
        <w:tc>
          <w:tcPr>
            <w:tcW w:w="705" w:type="pct"/>
            <w:shd w:val="clear" w:color="auto" w:fill="auto"/>
            <w:vAlign w:val="center"/>
          </w:tcPr>
          <w:p w14:paraId="5799C556">
            <w:pPr>
              <w:pStyle w:val="76"/>
              <w:rPr>
                <w:rFonts w:hint="default" w:ascii="Times New Roman" w:hAnsi="Times New Roman" w:eastAsia="宋体" w:cs="Times New Roman"/>
                <w:kern w:val="0"/>
                <w:sz w:val="21"/>
                <w:szCs w:val="21"/>
              </w:rPr>
            </w:pPr>
          </w:p>
        </w:tc>
        <w:tc>
          <w:tcPr>
            <w:tcW w:w="906" w:type="pct"/>
            <w:vAlign w:val="center"/>
          </w:tcPr>
          <w:p w14:paraId="41346276">
            <w:pPr>
              <w:pStyle w:val="76"/>
              <w:rPr>
                <w:rFonts w:hint="default" w:ascii="Times New Roman" w:hAnsi="Times New Roman" w:eastAsia="宋体" w:cs="Times New Roman"/>
                <w:kern w:val="0"/>
                <w:sz w:val="21"/>
                <w:szCs w:val="21"/>
              </w:rPr>
            </w:pPr>
          </w:p>
        </w:tc>
        <w:tc>
          <w:tcPr>
            <w:tcW w:w="835" w:type="pct"/>
            <w:vAlign w:val="center"/>
          </w:tcPr>
          <w:p w14:paraId="11B22A21">
            <w:pPr>
              <w:pStyle w:val="76"/>
              <w:rPr>
                <w:rFonts w:hint="default" w:ascii="Times New Roman" w:hAnsi="Times New Roman" w:eastAsia="宋体" w:cs="Times New Roman"/>
                <w:kern w:val="0"/>
                <w:sz w:val="21"/>
                <w:szCs w:val="21"/>
              </w:rPr>
            </w:pPr>
          </w:p>
        </w:tc>
        <w:tc>
          <w:tcPr>
            <w:tcW w:w="753" w:type="pct"/>
            <w:vAlign w:val="center"/>
          </w:tcPr>
          <w:p w14:paraId="7B06DE9F">
            <w:pPr>
              <w:pStyle w:val="76"/>
              <w:rPr>
                <w:rFonts w:hint="default" w:ascii="Times New Roman" w:hAnsi="Times New Roman" w:eastAsia="宋体" w:cs="Times New Roman"/>
                <w:kern w:val="0"/>
                <w:sz w:val="21"/>
                <w:szCs w:val="21"/>
              </w:rPr>
            </w:pPr>
          </w:p>
        </w:tc>
      </w:tr>
    </w:tbl>
    <w:p w14:paraId="37775536">
      <w:pPr>
        <w:pStyle w:val="73"/>
        <w:ind w:firstLine="420"/>
        <w:rPr>
          <w:u w:val="single"/>
        </w:rPr>
      </w:pPr>
    </w:p>
    <w:p w14:paraId="11172495">
      <w:pPr>
        <w:pStyle w:val="73"/>
        <w:ind w:firstLine="420"/>
      </w:pPr>
      <w:r>
        <w:rPr>
          <w:rFonts w:hint="eastAsia"/>
        </w:rPr>
        <w:t>支</w:t>
      </w:r>
      <w:r>
        <w:rPr>
          <w:rFonts w:hint="eastAsia"/>
          <w:lang w:val="en-US" w:eastAsia="zh-CN"/>
        </w:rPr>
        <w:t>座</w:t>
      </w:r>
      <w:r>
        <w:rPr>
          <w:rFonts w:hint="eastAsia"/>
        </w:rPr>
        <w:t>附着墙体测试记录表见表</w:t>
      </w:r>
      <w:r>
        <w:rPr>
          <w:rFonts w:ascii="Times New Roman"/>
        </w:rPr>
        <w:t>A.</w:t>
      </w:r>
      <w:r>
        <w:rPr>
          <w:rFonts w:hint="eastAsia" w:ascii="Times New Roman"/>
        </w:rPr>
        <w:t>11</w:t>
      </w:r>
      <w:r>
        <w:rPr>
          <w:rFonts w:hint="eastAsia"/>
        </w:rPr>
        <w:t>。</w:t>
      </w:r>
    </w:p>
    <w:p w14:paraId="780CC0FF">
      <w:pPr>
        <w:pStyle w:val="75"/>
        <w:spacing w:before="156" w:after="156"/>
      </w:pPr>
      <w:bookmarkStart w:id="209" w:name="_Toc195545794"/>
      <w:r>
        <w:rPr>
          <w:rFonts w:hint="eastAsia"/>
        </w:rPr>
        <w:t>支</w:t>
      </w:r>
      <w:r>
        <w:rPr>
          <w:rFonts w:hint="eastAsia"/>
          <w:lang w:val="en-US" w:eastAsia="zh-CN"/>
        </w:rPr>
        <w:t>座</w:t>
      </w:r>
      <w:r>
        <w:rPr>
          <w:rFonts w:hint="eastAsia"/>
        </w:rPr>
        <w:t>附着墙体测试记录表</w:t>
      </w:r>
      <w:bookmarkEnd w:id="209"/>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744"/>
        <w:gridCol w:w="1651"/>
        <w:gridCol w:w="1113"/>
        <w:gridCol w:w="2183"/>
        <w:gridCol w:w="2286"/>
        <w:gridCol w:w="1073"/>
      </w:tblGrid>
      <w:tr w14:paraId="48C38F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44" w:hRule="atLeast"/>
          <w:tblHeader/>
          <w:jc w:val="center"/>
        </w:trPr>
        <w:tc>
          <w:tcPr>
            <w:tcW w:w="411" w:type="pct"/>
            <w:tcBorders>
              <w:top w:val="single" w:color="auto" w:sz="8" w:space="0"/>
            </w:tcBorders>
            <w:shd w:val="clear" w:color="auto" w:fill="auto"/>
            <w:vAlign w:val="center"/>
          </w:tcPr>
          <w:p w14:paraId="1C54E250">
            <w:pPr>
              <w:pStyle w:val="76"/>
              <w:rPr>
                <w:rFonts w:hint="default" w:ascii="Times New Roman" w:hAnsi="Times New Roman" w:eastAsia="等线" w:cs="Times New Roman"/>
                <w:kern w:val="0"/>
                <w:sz w:val="20"/>
                <w:szCs w:val="20"/>
              </w:rPr>
            </w:pPr>
            <w:bookmarkStart w:id="210" w:name="_Hlk194571338"/>
            <w:r>
              <w:rPr>
                <w:rFonts w:hint="default" w:ascii="Times New Roman" w:hAnsi="Times New Roman" w:eastAsia="等线" w:cs="Times New Roman"/>
                <w:kern w:val="0"/>
                <w:sz w:val="20"/>
                <w:szCs w:val="20"/>
              </w:rPr>
              <w:t>序号</w:t>
            </w:r>
          </w:p>
        </w:tc>
        <w:tc>
          <w:tcPr>
            <w:tcW w:w="912" w:type="pct"/>
            <w:tcBorders>
              <w:top w:val="single" w:color="auto" w:sz="8" w:space="0"/>
            </w:tcBorders>
            <w:shd w:val="clear" w:color="auto" w:fill="auto"/>
            <w:vAlign w:val="center"/>
          </w:tcPr>
          <w:p w14:paraId="7F7ACB49">
            <w:pPr>
              <w:pStyle w:val="76"/>
              <w:rPr>
                <w:rFonts w:hint="default" w:ascii="Times New Roman" w:hAnsi="Times New Roman" w:eastAsia="等线" w:cs="Times New Roman"/>
                <w:kern w:val="0"/>
                <w:sz w:val="20"/>
                <w:szCs w:val="20"/>
              </w:rPr>
            </w:pPr>
            <w:r>
              <w:rPr>
                <w:rFonts w:hint="default" w:ascii="Times New Roman" w:hAnsi="Times New Roman" w:eastAsia="等线" w:cs="Times New Roman"/>
                <w:kern w:val="0"/>
                <w:sz w:val="20"/>
                <w:szCs w:val="20"/>
              </w:rPr>
              <w:t>墙体竖向连续性</w:t>
            </w:r>
          </w:p>
          <w:p w14:paraId="24D5A083">
            <w:pPr>
              <w:pStyle w:val="76"/>
              <w:rPr>
                <w:rFonts w:hint="default" w:ascii="Times New Roman" w:hAnsi="Times New Roman" w:eastAsia="等线" w:cs="Times New Roman"/>
                <w:kern w:val="0"/>
                <w:sz w:val="20"/>
                <w:szCs w:val="20"/>
              </w:rPr>
            </w:pPr>
            <w:r>
              <w:rPr>
                <w:rFonts w:hint="default" w:ascii="Times New Roman" w:hAnsi="Times New Roman" w:eastAsia="等线" w:cs="Times New Roman"/>
                <w:kern w:val="0"/>
                <w:sz w:val="20"/>
                <w:szCs w:val="20"/>
              </w:rPr>
              <w:t>（是/否）</w:t>
            </w:r>
          </w:p>
        </w:tc>
        <w:tc>
          <w:tcPr>
            <w:tcW w:w="615" w:type="pct"/>
            <w:tcBorders>
              <w:top w:val="single" w:color="auto" w:sz="8" w:space="0"/>
            </w:tcBorders>
            <w:shd w:val="clear" w:color="auto" w:fill="auto"/>
            <w:vAlign w:val="center"/>
          </w:tcPr>
          <w:p w14:paraId="327B9822">
            <w:pPr>
              <w:pStyle w:val="76"/>
              <w:rPr>
                <w:rFonts w:hint="default" w:ascii="Times New Roman" w:hAnsi="Times New Roman" w:eastAsia="等线" w:cs="Times New Roman"/>
                <w:kern w:val="0"/>
                <w:sz w:val="20"/>
                <w:szCs w:val="20"/>
              </w:rPr>
            </w:pPr>
            <w:r>
              <w:rPr>
                <w:rFonts w:hint="default" w:ascii="Times New Roman" w:hAnsi="Times New Roman" w:eastAsia="等线" w:cs="Times New Roman"/>
                <w:kern w:val="0"/>
                <w:sz w:val="20"/>
                <w:szCs w:val="20"/>
              </w:rPr>
              <w:t>墙体厚度</w:t>
            </w:r>
          </w:p>
          <w:p w14:paraId="4A882253">
            <w:pPr>
              <w:pStyle w:val="76"/>
              <w:rPr>
                <w:rFonts w:hint="default" w:ascii="Times New Roman" w:hAnsi="Times New Roman" w:eastAsia="等线" w:cs="Times New Roman"/>
                <w:kern w:val="0"/>
                <w:sz w:val="20"/>
                <w:szCs w:val="20"/>
              </w:rPr>
            </w:pPr>
            <w:r>
              <w:rPr>
                <w:rFonts w:hint="default" w:ascii="Times New Roman" w:hAnsi="Times New Roman" w:eastAsia="等线" w:cs="Times New Roman"/>
                <w:kern w:val="0"/>
                <w:sz w:val="20"/>
                <w:szCs w:val="20"/>
              </w:rPr>
              <w:t>mm</w:t>
            </w:r>
          </w:p>
        </w:tc>
        <w:tc>
          <w:tcPr>
            <w:tcW w:w="1206" w:type="pct"/>
            <w:tcBorders>
              <w:top w:val="single" w:color="auto" w:sz="8" w:space="0"/>
            </w:tcBorders>
            <w:vAlign w:val="center"/>
          </w:tcPr>
          <w:p w14:paraId="1BB95110">
            <w:pPr>
              <w:pStyle w:val="76"/>
              <w:rPr>
                <w:rFonts w:hint="default" w:ascii="Times New Roman" w:hAnsi="Times New Roman" w:eastAsia="等线" w:cs="Times New Roman"/>
                <w:kern w:val="0"/>
                <w:sz w:val="20"/>
                <w:szCs w:val="20"/>
              </w:rPr>
            </w:pPr>
            <w:r>
              <w:rPr>
                <w:rFonts w:hint="default" w:ascii="Times New Roman" w:hAnsi="Times New Roman" w:eastAsia="等线" w:cs="Times New Roman"/>
                <w:kern w:val="0"/>
                <w:sz w:val="20"/>
                <w:szCs w:val="20"/>
              </w:rPr>
              <w:t>墙体混凝土标号</w:t>
            </w:r>
          </w:p>
        </w:tc>
        <w:tc>
          <w:tcPr>
            <w:tcW w:w="1263" w:type="pct"/>
            <w:tcBorders>
              <w:top w:val="single" w:color="auto" w:sz="8" w:space="0"/>
            </w:tcBorders>
            <w:shd w:val="clear" w:color="auto" w:fill="auto"/>
            <w:vAlign w:val="center"/>
          </w:tcPr>
          <w:p w14:paraId="16916BD4">
            <w:pPr>
              <w:pStyle w:val="76"/>
              <w:rPr>
                <w:rFonts w:hint="default" w:ascii="Times New Roman" w:hAnsi="Times New Roman" w:eastAsia="等线" w:cs="Times New Roman"/>
                <w:kern w:val="0"/>
                <w:sz w:val="20"/>
                <w:szCs w:val="20"/>
              </w:rPr>
            </w:pPr>
            <w:r>
              <w:rPr>
                <w:rFonts w:hint="default" w:ascii="Times New Roman" w:hAnsi="Times New Roman" w:eastAsia="等线" w:cs="Times New Roman"/>
                <w:kern w:val="0"/>
                <w:sz w:val="20"/>
                <w:szCs w:val="20"/>
              </w:rPr>
              <w:t>现龄期混凝土抗压强度</w:t>
            </w:r>
          </w:p>
          <w:p w14:paraId="63E27144">
            <w:pPr>
              <w:pStyle w:val="76"/>
              <w:rPr>
                <w:rFonts w:hint="default" w:ascii="Times New Roman" w:hAnsi="Times New Roman" w:eastAsia="等线" w:cs="Times New Roman"/>
                <w:kern w:val="0"/>
                <w:sz w:val="20"/>
                <w:szCs w:val="20"/>
              </w:rPr>
            </w:pPr>
            <w:r>
              <w:rPr>
                <w:rFonts w:hint="default" w:ascii="Times New Roman" w:hAnsi="Times New Roman" w:eastAsia="等线" w:cs="Times New Roman"/>
                <w:kern w:val="0"/>
                <w:sz w:val="20"/>
                <w:szCs w:val="20"/>
              </w:rPr>
              <w:t>MPa</w:t>
            </w:r>
          </w:p>
        </w:tc>
        <w:tc>
          <w:tcPr>
            <w:tcW w:w="593" w:type="pct"/>
            <w:tcBorders>
              <w:top w:val="single" w:color="auto" w:sz="8" w:space="0"/>
            </w:tcBorders>
            <w:shd w:val="clear" w:color="auto" w:fill="auto"/>
            <w:vAlign w:val="center"/>
          </w:tcPr>
          <w:p w14:paraId="012021F6">
            <w:pPr>
              <w:pStyle w:val="76"/>
              <w:rPr>
                <w:rFonts w:hint="default" w:ascii="Times New Roman" w:hAnsi="Times New Roman" w:eastAsia="等线" w:cs="Times New Roman"/>
                <w:kern w:val="0"/>
                <w:sz w:val="20"/>
                <w:szCs w:val="20"/>
              </w:rPr>
            </w:pPr>
            <w:r>
              <w:rPr>
                <w:rFonts w:hint="default" w:ascii="Times New Roman" w:hAnsi="Times New Roman" w:eastAsia="等线" w:cs="Times New Roman"/>
                <w:kern w:val="0"/>
                <w:sz w:val="20"/>
                <w:szCs w:val="20"/>
              </w:rPr>
              <w:t>备注</w:t>
            </w:r>
          </w:p>
        </w:tc>
      </w:tr>
      <w:tr w14:paraId="532D6C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1" w:type="pct"/>
            <w:tcBorders>
              <w:top w:val="single" w:color="auto" w:sz="8" w:space="0"/>
            </w:tcBorders>
            <w:shd w:val="clear" w:color="auto" w:fill="auto"/>
            <w:vAlign w:val="center"/>
          </w:tcPr>
          <w:p w14:paraId="4C7EF0FA">
            <w:pPr>
              <w:pStyle w:val="76"/>
              <w:rPr>
                <w:rFonts w:hint="default" w:ascii="Times New Roman" w:hAnsi="Times New Roman" w:eastAsia="等线" w:cs="Times New Roman"/>
                <w:kern w:val="0"/>
                <w:sz w:val="20"/>
                <w:szCs w:val="20"/>
              </w:rPr>
            </w:pPr>
            <w:r>
              <w:rPr>
                <w:rFonts w:hint="default" w:ascii="Times New Roman" w:hAnsi="Times New Roman" w:eastAsia="等线" w:cs="Times New Roman"/>
                <w:kern w:val="0"/>
                <w:sz w:val="20"/>
                <w:szCs w:val="20"/>
              </w:rPr>
              <w:t>1</w:t>
            </w:r>
          </w:p>
        </w:tc>
        <w:tc>
          <w:tcPr>
            <w:tcW w:w="912" w:type="pct"/>
            <w:tcBorders>
              <w:top w:val="single" w:color="auto" w:sz="8" w:space="0"/>
            </w:tcBorders>
            <w:shd w:val="clear" w:color="auto" w:fill="auto"/>
            <w:vAlign w:val="center"/>
          </w:tcPr>
          <w:p w14:paraId="3CEF8AED">
            <w:pPr>
              <w:pStyle w:val="76"/>
              <w:rPr>
                <w:rFonts w:hint="default" w:ascii="Times New Roman" w:hAnsi="Times New Roman" w:eastAsia="等线" w:cs="Times New Roman"/>
                <w:kern w:val="0"/>
                <w:sz w:val="20"/>
                <w:szCs w:val="20"/>
              </w:rPr>
            </w:pPr>
          </w:p>
        </w:tc>
        <w:tc>
          <w:tcPr>
            <w:tcW w:w="615" w:type="pct"/>
            <w:tcBorders>
              <w:top w:val="single" w:color="auto" w:sz="8" w:space="0"/>
            </w:tcBorders>
            <w:shd w:val="clear" w:color="auto" w:fill="auto"/>
            <w:vAlign w:val="center"/>
          </w:tcPr>
          <w:p w14:paraId="4CB17359">
            <w:pPr>
              <w:pStyle w:val="76"/>
              <w:rPr>
                <w:rFonts w:hint="default" w:ascii="Times New Roman" w:hAnsi="Times New Roman" w:eastAsia="等线" w:cs="Times New Roman"/>
                <w:kern w:val="0"/>
                <w:sz w:val="20"/>
                <w:szCs w:val="20"/>
              </w:rPr>
            </w:pPr>
          </w:p>
        </w:tc>
        <w:tc>
          <w:tcPr>
            <w:tcW w:w="1206" w:type="pct"/>
            <w:tcBorders>
              <w:top w:val="single" w:color="auto" w:sz="8" w:space="0"/>
            </w:tcBorders>
          </w:tcPr>
          <w:p w14:paraId="5E8E1AEF">
            <w:pPr>
              <w:pStyle w:val="76"/>
              <w:rPr>
                <w:rFonts w:hint="default" w:ascii="Times New Roman" w:hAnsi="Times New Roman" w:eastAsia="等线" w:cs="Times New Roman"/>
                <w:kern w:val="0"/>
                <w:sz w:val="20"/>
                <w:szCs w:val="20"/>
              </w:rPr>
            </w:pPr>
          </w:p>
        </w:tc>
        <w:tc>
          <w:tcPr>
            <w:tcW w:w="1263" w:type="pct"/>
            <w:tcBorders>
              <w:top w:val="single" w:color="auto" w:sz="8" w:space="0"/>
            </w:tcBorders>
            <w:shd w:val="clear" w:color="auto" w:fill="auto"/>
            <w:vAlign w:val="center"/>
          </w:tcPr>
          <w:p w14:paraId="4429FBA5">
            <w:pPr>
              <w:pStyle w:val="76"/>
              <w:rPr>
                <w:rFonts w:hint="default" w:ascii="Times New Roman" w:hAnsi="Times New Roman" w:eastAsia="等线" w:cs="Times New Roman"/>
                <w:kern w:val="0"/>
                <w:sz w:val="20"/>
                <w:szCs w:val="20"/>
              </w:rPr>
            </w:pPr>
          </w:p>
        </w:tc>
        <w:tc>
          <w:tcPr>
            <w:tcW w:w="593" w:type="pct"/>
            <w:tcBorders>
              <w:top w:val="single" w:color="auto" w:sz="8" w:space="0"/>
            </w:tcBorders>
            <w:shd w:val="clear" w:color="auto" w:fill="auto"/>
            <w:vAlign w:val="center"/>
          </w:tcPr>
          <w:p w14:paraId="19A7BDEA">
            <w:pPr>
              <w:pStyle w:val="76"/>
              <w:rPr>
                <w:rFonts w:hint="default" w:ascii="Times New Roman" w:hAnsi="Times New Roman" w:eastAsia="等线" w:cs="Times New Roman"/>
                <w:kern w:val="0"/>
                <w:sz w:val="20"/>
                <w:szCs w:val="20"/>
              </w:rPr>
            </w:pPr>
          </w:p>
        </w:tc>
      </w:tr>
      <w:tr w14:paraId="5BD8F3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0" w:hRule="atLeast"/>
          <w:jc w:val="center"/>
        </w:trPr>
        <w:tc>
          <w:tcPr>
            <w:tcW w:w="411" w:type="pct"/>
            <w:shd w:val="clear" w:color="auto" w:fill="auto"/>
            <w:vAlign w:val="center"/>
          </w:tcPr>
          <w:p w14:paraId="10B14104">
            <w:pPr>
              <w:pStyle w:val="76"/>
              <w:rPr>
                <w:rFonts w:hint="default" w:ascii="Times New Roman" w:hAnsi="Times New Roman" w:eastAsia="等线" w:cs="Times New Roman"/>
                <w:kern w:val="0"/>
                <w:sz w:val="20"/>
                <w:szCs w:val="20"/>
              </w:rPr>
            </w:pPr>
            <w:r>
              <w:rPr>
                <w:rFonts w:hint="default" w:ascii="Times New Roman" w:hAnsi="Times New Roman" w:eastAsia="等线" w:cs="Times New Roman"/>
                <w:kern w:val="0"/>
                <w:sz w:val="20"/>
                <w:szCs w:val="20"/>
              </w:rPr>
              <w:t>2</w:t>
            </w:r>
          </w:p>
        </w:tc>
        <w:tc>
          <w:tcPr>
            <w:tcW w:w="912" w:type="pct"/>
            <w:shd w:val="clear" w:color="auto" w:fill="auto"/>
            <w:vAlign w:val="center"/>
          </w:tcPr>
          <w:p w14:paraId="7B17EC53">
            <w:pPr>
              <w:pStyle w:val="76"/>
              <w:rPr>
                <w:rFonts w:hint="default" w:ascii="Times New Roman" w:hAnsi="Times New Roman" w:eastAsia="等线" w:cs="Times New Roman"/>
                <w:kern w:val="0"/>
                <w:sz w:val="20"/>
                <w:szCs w:val="20"/>
              </w:rPr>
            </w:pPr>
          </w:p>
        </w:tc>
        <w:tc>
          <w:tcPr>
            <w:tcW w:w="615" w:type="pct"/>
            <w:shd w:val="clear" w:color="auto" w:fill="auto"/>
            <w:vAlign w:val="center"/>
          </w:tcPr>
          <w:p w14:paraId="5FD21CFE">
            <w:pPr>
              <w:pStyle w:val="76"/>
              <w:rPr>
                <w:rFonts w:hint="default" w:ascii="Times New Roman" w:hAnsi="Times New Roman" w:eastAsia="等线" w:cs="Times New Roman"/>
                <w:kern w:val="0"/>
                <w:sz w:val="20"/>
                <w:szCs w:val="20"/>
              </w:rPr>
            </w:pPr>
          </w:p>
        </w:tc>
        <w:tc>
          <w:tcPr>
            <w:tcW w:w="1206" w:type="pct"/>
          </w:tcPr>
          <w:p w14:paraId="448098A6">
            <w:pPr>
              <w:pStyle w:val="76"/>
              <w:rPr>
                <w:rFonts w:hint="default" w:ascii="Times New Roman" w:hAnsi="Times New Roman" w:eastAsia="等线" w:cs="Times New Roman"/>
                <w:kern w:val="0"/>
                <w:sz w:val="20"/>
                <w:szCs w:val="20"/>
              </w:rPr>
            </w:pPr>
          </w:p>
        </w:tc>
        <w:tc>
          <w:tcPr>
            <w:tcW w:w="1263" w:type="pct"/>
            <w:shd w:val="clear" w:color="auto" w:fill="auto"/>
            <w:vAlign w:val="center"/>
          </w:tcPr>
          <w:p w14:paraId="636F4BC0">
            <w:pPr>
              <w:pStyle w:val="76"/>
              <w:rPr>
                <w:rFonts w:hint="default" w:ascii="Times New Roman" w:hAnsi="Times New Roman" w:eastAsia="等线" w:cs="Times New Roman"/>
                <w:kern w:val="0"/>
                <w:sz w:val="20"/>
                <w:szCs w:val="20"/>
              </w:rPr>
            </w:pPr>
          </w:p>
        </w:tc>
        <w:tc>
          <w:tcPr>
            <w:tcW w:w="593" w:type="pct"/>
            <w:shd w:val="clear" w:color="auto" w:fill="auto"/>
            <w:vAlign w:val="center"/>
          </w:tcPr>
          <w:p w14:paraId="3FB9F42B">
            <w:pPr>
              <w:pStyle w:val="76"/>
              <w:rPr>
                <w:rFonts w:hint="default" w:ascii="Times New Roman" w:hAnsi="Times New Roman" w:eastAsia="等线" w:cs="Times New Roman"/>
                <w:kern w:val="0"/>
                <w:sz w:val="20"/>
                <w:szCs w:val="20"/>
              </w:rPr>
            </w:pPr>
          </w:p>
        </w:tc>
      </w:tr>
      <w:tr w14:paraId="25E15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1" w:type="pct"/>
            <w:shd w:val="clear" w:color="auto" w:fill="auto"/>
            <w:vAlign w:val="center"/>
          </w:tcPr>
          <w:p w14:paraId="2CF9ECF2">
            <w:pPr>
              <w:pStyle w:val="76"/>
              <w:rPr>
                <w:rFonts w:hint="default" w:ascii="Times New Roman" w:hAnsi="Times New Roman" w:eastAsia="等线" w:cs="Times New Roman"/>
                <w:kern w:val="0"/>
                <w:sz w:val="20"/>
                <w:szCs w:val="20"/>
              </w:rPr>
            </w:pPr>
            <w:r>
              <w:rPr>
                <w:rFonts w:hint="default" w:ascii="Times New Roman" w:hAnsi="Times New Roman" w:eastAsia="等线" w:cs="Times New Roman"/>
                <w:kern w:val="0"/>
                <w:sz w:val="20"/>
                <w:szCs w:val="20"/>
              </w:rPr>
              <w:t>……</w:t>
            </w:r>
          </w:p>
        </w:tc>
        <w:tc>
          <w:tcPr>
            <w:tcW w:w="912" w:type="pct"/>
            <w:shd w:val="clear" w:color="auto" w:fill="auto"/>
            <w:vAlign w:val="center"/>
          </w:tcPr>
          <w:p w14:paraId="0B03C6F3">
            <w:pPr>
              <w:pStyle w:val="76"/>
              <w:rPr>
                <w:rFonts w:hint="default" w:ascii="Times New Roman" w:hAnsi="Times New Roman" w:eastAsia="等线" w:cs="Times New Roman"/>
                <w:kern w:val="0"/>
                <w:sz w:val="20"/>
                <w:szCs w:val="20"/>
              </w:rPr>
            </w:pPr>
          </w:p>
        </w:tc>
        <w:tc>
          <w:tcPr>
            <w:tcW w:w="615" w:type="pct"/>
            <w:shd w:val="clear" w:color="auto" w:fill="auto"/>
            <w:vAlign w:val="center"/>
          </w:tcPr>
          <w:p w14:paraId="2AF4133F">
            <w:pPr>
              <w:pStyle w:val="76"/>
              <w:rPr>
                <w:rFonts w:hint="default" w:ascii="Times New Roman" w:hAnsi="Times New Roman" w:eastAsia="等线" w:cs="Times New Roman"/>
                <w:kern w:val="0"/>
                <w:sz w:val="20"/>
                <w:szCs w:val="20"/>
              </w:rPr>
            </w:pPr>
          </w:p>
        </w:tc>
        <w:tc>
          <w:tcPr>
            <w:tcW w:w="1206" w:type="pct"/>
          </w:tcPr>
          <w:p w14:paraId="34FF2B2E">
            <w:pPr>
              <w:pStyle w:val="76"/>
              <w:rPr>
                <w:rFonts w:hint="default" w:ascii="Times New Roman" w:hAnsi="Times New Roman" w:eastAsia="等线" w:cs="Times New Roman"/>
                <w:kern w:val="0"/>
                <w:sz w:val="20"/>
                <w:szCs w:val="20"/>
              </w:rPr>
            </w:pPr>
          </w:p>
        </w:tc>
        <w:tc>
          <w:tcPr>
            <w:tcW w:w="1263" w:type="pct"/>
            <w:shd w:val="clear" w:color="auto" w:fill="auto"/>
            <w:vAlign w:val="center"/>
          </w:tcPr>
          <w:p w14:paraId="69C38F08">
            <w:pPr>
              <w:pStyle w:val="76"/>
              <w:rPr>
                <w:rFonts w:hint="default" w:ascii="Times New Roman" w:hAnsi="Times New Roman" w:eastAsia="等线" w:cs="Times New Roman"/>
                <w:kern w:val="0"/>
                <w:sz w:val="20"/>
                <w:szCs w:val="20"/>
              </w:rPr>
            </w:pPr>
          </w:p>
        </w:tc>
        <w:tc>
          <w:tcPr>
            <w:tcW w:w="593" w:type="pct"/>
            <w:shd w:val="clear" w:color="auto" w:fill="auto"/>
            <w:vAlign w:val="center"/>
          </w:tcPr>
          <w:p w14:paraId="0E531F38">
            <w:pPr>
              <w:pStyle w:val="76"/>
              <w:rPr>
                <w:rFonts w:hint="default" w:ascii="Times New Roman" w:hAnsi="Times New Roman" w:eastAsia="等线" w:cs="Times New Roman"/>
                <w:kern w:val="0"/>
                <w:sz w:val="20"/>
                <w:szCs w:val="20"/>
              </w:rPr>
            </w:pPr>
          </w:p>
        </w:tc>
      </w:tr>
      <w:bookmarkEnd w:id="210"/>
    </w:tbl>
    <w:p w14:paraId="526AE985">
      <w:pPr>
        <w:widowControl/>
        <w:adjustRightInd/>
        <w:spacing w:line="240" w:lineRule="auto"/>
        <w:jc w:val="left"/>
        <w:rPr>
          <w:rFonts w:ascii="宋体" w:hAnsi="Times New Roman"/>
          <w:kern w:val="0"/>
          <w:szCs w:val="20"/>
        </w:rPr>
      </w:pPr>
    </w:p>
    <w:p w14:paraId="28E411FC">
      <w:pPr>
        <w:pStyle w:val="73"/>
        <w:ind w:firstLine="420"/>
      </w:pPr>
      <w:r>
        <w:rPr>
          <w:rFonts w:hint="eastAsia"/>
        </w:rPr>
        <w:t>支承立柱垂直度测试记录表见表</w:t>
      </w:r>
      <w:r>
        <w:rPr>
          <w:rFonts w:ascii="Times New Roman"/>
        </w:rPr>
        <w:t>A.</w:t>
      </w:r>
      <w:r>
        <w:rPr>
          <w:rFonts w:hint="eastAsia" w:ascii="Times New Roman"/>
        </w:rPr>
        <w:t>12</w:t>
      </w:r>
      <w:r>
        <w:rPr>
          <w:rFonts w:hint="eastAsia"/>
        </w:rPr>
        <w:t>。</w:t>
      </w:r>
    </w:p>
    <w:p w14:paraId="1D3A077F">
      <w:pPr>
        <w:pStyle w:val="75"/>
        <w:spacing w:before="156" w:after="156"/>
      </w:pPr>
      <w:bookmarkStart w:id="211" w:name="_Toc195545795"/>
      <w:r>
        <w:rPr>
          <w:rFonts w:hint="eastAsia"/>
        </w:rPr>
        <w:t>支承立柱垂直度测试记录表</w:t>
      </w:r>
      <w:bookmarkEnd w:id="211"/>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053"/>
        <w:gridCol w:w="1879"/>
        <w:gridCol w:w="1879"/>
        <w:gridCol w:w="2463"/>
        <w:gridCol w:w="1776"/>
      </w:tblGrid>
      <w:tr w14:paraId="113D4C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tblHeader/>
          <w:jc w:val="center"/>
        </w:trPr>
        <w:tc>
          <w:tcPr>
            <w:tcW w:w="582" w:type="pct"/>
            <w:vMerge w:val="restart"/>
            <w:shd w:val="clear" w:color="auto" w:fill="auto"/>
            <w:vAlign w:val="center"/>
          </w:tcPr>
          <w:p w14:paraId="3FE2CCC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序号</w:t>
            </w:r>
          </w:p>
        </w:tc>
        <w:tc>
          <w:tcPr>
            <w:tcW w:w="2076" w:type="pct"/>
            <w:gridSpan w:val="2"/>
            <w:vAlign w:val="center"/>
          </w:tcPr>
          <w:p w14:paraId="7AD6C6A2">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垂直度（‰）</w:t>
            </w:r>
          </w:p>
        </w:tc>
        <w:tc>
          <w:tcPr>
            <w:tcW w:w="1361" w:type="pct"/>
            <w:vMerge w:val="restart"/>
            <w:shd w:val="clear" w:color="auto" w:fill="auto"/>
            <w:vAlign w:val="center"/>
          </w:tcPr>
          <w:p w14:paraId="1C8F2B9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垂直度是否满足要求（是/否）</w:t>
            </w:r>
          </w:p>
        </w:tc>
        <w:tc>
          <w:tcPr>
            <w:tcW w:w="981" w:type="pct"/>
            <w:vMerge w:val="restart"/>
            <w:vAlign w:val="center"/>
          </w:tcPr>
          <w:p w14:paraId="3B88FC21">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备注</w:t>
            </w:r>
          </w:p>
        </w:tc>
      </w:tr>
      <w:tr w14:paraId="30B1E4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tblHeader/>
          <w:jc w:val="center"/>
        </w:trPr>
        <w:tc>
          <w:tcPr>
            <w:tcW w:w="582" w:type="pct"/>
            <w:vMerge w:val="continue"/>
            <w:tcBorders>
              <w:bottom w:val="single" w:color="auto" w:sz="8" w:space="0"/>
            </w:tcBorders>
            <w:shd w:val="clear" w:color="auto" w:fill="auto"/>
            <w:vAlign w:val="center"/>
          </w:tcPr>
          <w:p w14:paraId="77AD2536">
            <w:pPr>
              <w:pStyle w:val="76"/>
              <w:rPr>
                <w:rFonts w:hint="default" w:ascii="Times New Roman" w:hAnsi="Times New Roman" w:eastAsia="宋体" w:cs="Times New Roman"/>
                <w:kern w:val="0"/>
                <w:sz w:val="21"/>
                <w:szCs w:val="21"/>
              </w:rPr>
            </w:pPr>
          </w:p>
        </w:tc>
        <w:tc>
          <w:tcPr>
            <w:tcW w:w="1038" w:type="pct"/>
            <w:tcBorders>
              <w:bottom w:val="single" w:color="auto" w:sz="8" w:space="0"/>
            </w:tcBorders>
            <w:vAlign w:val="center"/>
          </w:tcPr>
          <w:p w14:paraId="487990D6">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X向</w:t>
            </w:r>
          </w:p>
        </w:tc>
        <w:tc>
          <w:tcPr>
            <w:tcW w:w="1038" w:type="pct"/>
            <w:tcBorders>
              <w:bottom w:val="single" w:color="auto" w:sz="8" w:space="0"/>
            </w:tcBorders>
            <w:vAlign w:val="center"/>
          </w:tcPr>
          <w:p w14:paraId="7AB64445">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Y向</w:t>
            </w:r>
          </w:p>
        </w:tc>
        <w:tc>
          <w:tcPr>
            <w:tcW w:w="1361" w:type="pct"/>
            <w:vMerge w:val="continue"/>
            <w:tcBorders>
              <w:bottom w:val="single" w:color="auto" w:sz="8" w:space="0"/>
            </w:tcBorders>
            <w:shd w:val="clear" w:color="auto" w:fill="auto"/>
            <w:vAlign w:val="center"/>
          </w:tcPr>
          <w:p w14:paraId="3D6605CD">
            <w:pPr>
              <w:pStyle w:val="76"/>
              <w:rPr>
                <w:rFonts w:hint="default" w:ascii="Times New Roman" w:hAnsi="Times New Roman" w:eastAsia="宋体" w:cs="Times New Roman"/>
                <w:kern w:val="0"/>
                <w:sz w:val="21"/>
                <w:szCs w:val="21"/>
              </w:rPr>
            </w:pPr>
          </w:p>
        </w:tc>
        <w:tc>
          <w:tcPr>
            <w:tcW w:w="981" w:type="pct"/>
            <w:vMerge w:val="continue"/>
            <w:tcBorders>
              <w:bottom w:val="single" w:color="auto" w:sz="8" w:space="0"/>
            </w:tcBorders>
            <w:vAlign w:val="center"/>
          </w:tcPr>
          <w:p w14:paraId="0DF95155">
            <w:pPr>
              <w:pStyle w:val="76"/>
              <w:rPr>
                <w:rFonts w:hint="default" w:ascii="Times New Roman" w:hAnsi="Times New Roman" w:eastAsia="宋体" w:cs="Times New Roman"/>
                <w:kern w:val="0"/>
                <w:sz w:val="21"/>
                <w:szCs w:val="21"/>
              </w:rPr>
            </w:pPr>
          </w:p>
        </w:tc>
      </w:tr>
      <w:tr w14:paraId="7C9F4F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82" w:type="pct"/>
            <w:tcBorders>
              <w:top w:val="single" w:color="auto" w:sz="8" w:space="0"/>
              <w:bottom w:val="single" w:color="auto" w:sz="4" w:space="0"/>
            </w:tcBorders>
            <w:shd w:val="clear" w:color="auto" w:fill="auto"/>
            <w:vAlign w:val="center"/>
          </w:tcPr>
          <w:p w14:paraId="33A250EE">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w:t>
            </w:r>
          </w:p>
        </w:tc>
        <w:tc>
          <w:tcPr>
            <w:tcW w:w="1038" w:type="pct"/>
            <w:tcBorders>
              <w:top w:val="single" w:color="auto" w:sz="8" w:space="0"/>
              <w:bottom w:val="single" w:color="auto" w:sz="4" w:space="0"/>
            </w:tcBorders>
            <w:vAlign w:val="center"/>
          </w:tcPr>
          <w:p w14:paraId="75077B7F">
            <w:pPr>
              <w:pStyle w:val="76"/>
              <w:rPr>
                <w:rFonts w:hint="default" w:ascii="Times New Roman" w:hAnsi="Times New Roman" w:eastAsia="宋体" w:cs="Times New Roman"/>
                <w:kern w:val="0"/>
                <w:sz w:val="21"/>
                <w:szCs w:val="21"/>
              </w:rPr>
            </w:pPr>
          </w:p>
        </w:tc>
        <w:tc>
          <w:tcPr>
            <w:tcW w:w="1038" w:type="pct"/>
            <w:tcBorders>
              <w:top w:val="single" w:color="auto" w:sz="8" w:space="0"/>
              <w:bottom w:val="single" w:color="auto" w:sz="4" w:space="0"/>
            </w:tcBorders>
            <w:vAlign w:val="center"/>
          </w:tcPr>
          <w:p w14:paraId="3B19AA74">
            <w:pPr>
              <w:pStyle w:val="76"/>
              <w:rPr>
                <w:rFonts w:hint="default" w:ascii="Times New Roman" w:hAnsi="Times New Roman" w:eastAsia="宋体" w:cs="Times New Roman"/>
                <w:kern w:val="0"/>
                <w:sz w:val="21"/>
                <w:szCs w:val="21"/>
              </w:rPr>
            </w:pPr>
          </w:p>
        </w:tc>
        <w:tc>
          <w:tcPr>
            <w:tcW w:w="1361" w:type="pct"/>
            <w:tcBorders>
              <w:top w:val="single" w:color="auto" w:sz="8" w:space="0"/>
              <w:bottom w:val="single" w:color="auto" w:sz="4" w:space="0"/>
            </w:tcBorders>
            <w:vAlign w:val="center"/>
          </w:tcPr>
          <w:p w14:paraId="62ACEC98">
            <w:pPr>
              <w:pStyle w:val="76"/>
              <w:rPr>
                <w:rFonts w:hint="default" w:ascii="Times New Roman" w:hAnsi="Times New Roman" w:eastAsia="宋体" w:cs="Times New Roman"/>
                <w:kern w:val="0"/>
                <w:sz w:val="21"/>
                <w:szCs w:val="21"/>
              </w:rPr>
            </w:pPr>
          </w:p>
        </w:tc>
        <w:tc>
          <w:tcPr>
            <w:tcW w:w="981" w:type="pct"/>
            <w:tcBorders>
              <w:top w:val="single" w:color="auto" w:sz="8" w:space="0"/>
              <w:bottom w:val="single" w:color="auto" w:sz="4" w:space="0"/>
            </w:tcBorders>
            <w:vAlign w:val="center"/>
          </w:tcPr>
          <w:p w14:paraId="1EFD75DD">
            <w:pPr>
              <w:pStyle w:val="76"/>
              <w:rPr>
                <w:rFonts w:hint="default" w:ascii="Times New Roman" w:hAnsi="Times New Roman" w:eastAsia="宋体" w:cs="Times New Roman"/>
                <w:kern w:val="0"/>
                <w:sz w:val="21"/>
                <w:szCs w:val="21"/>
              </w:rPr>
            </w:pPr>
          </w:p>
        </w:tc>
      </w:tr>
      <w:tr w14:paraId="103511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82" w:type="pct"/>
            <w:tcBorders>
              <w:top w:val="single" w:color="auto" w:sz="4" w:space="0"/>
            </w:tcBorders>
            <w:shd w:val="clear" w:color="auto" w:fill="auto"/>
            <w:vAlign w:val="center"/>
          </w:tcPr>
          <w:p w14:paraId="06B29A7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w:t>
            </w:r>
          </w:p>
        </w:tc>
        <w:tc>
          <w:tcPr>
            <w:tcW w:w="1038" w:type="pct"/>
            <w:tcBorders>
              <w:top w:val="single" w:color="auto" w:sz="4" w:space="0"/>
            </w:tcBorders>
            <w:vAlign w:val="center"/>
          </w:tcPr>
          <w:p w14:paraId="0CDC7803">
            <w:pPr>
              <w:pStyle w:val="76"/>
              <w:rPr>
                <w:rFonts w:hint="default" w:ascii="Times New Roman" w:hAnsi="Times New Roman" w:eastAsia="宋体" w:cs="Times New Roman"/>
                <w:kern w:val="0"/>
                <w:sz w:val="21"/>
                <w:szCs w:val="21"/>
              </w:rPr>
            </w:pPr>
          </w:p>
        </w:tc>
        <w:tc>
          <w:tcPr>
            <w:tcW w:w="1038" w:type="pct"/>
            <w:tcBorders>
              <w:top w:val="single" w:color="auto" w:sz="4" w:space="0"/>
            </w:tcBorders>
            <w:vAlign w:val="center"/>
          </w:tcPr>
          <w:p w14:paraId="00F4C816">
            <w:pPr>
              <w:pStyle w:val="76"/>
              <w:rPr>
                <w:rFonts w:hint="default" w:ascii="Times New Roman" w:hAnsi="Times New Roman" w:eastAsia="宋体" w:cs="Times New Roman"/>
                <w:kern w:val="0"/>
                <w:sz w:val="21"/>
                <w:szCs w:val="21"/>
              </w:rPr>
            </w:pPr>
          </w:p>
        </w:tc>
        <w:tc>
          <w:tcPr>
            <w:tcW w:w="1361" w:type="pct"/>
            <w:tcBorders>
              <w:top w:val="single" w:color="auto" w:sz="4" w:space="0"/>
            </w:tcBorders>
            <w:vAlign w:val="center"/>
          </w:tcPr>
          <w:p w14:paraId="49ACA1EC">
            <w:pPr>
              <w:pStyle w:val="76"/>
              <w:rPr>
                <w:rFonts w:hint="default" w:ascii="Times New Roman" w:hAnsi="Times New Roman" w:eastAsia="宋体" w:cs="Times New Roman"/>
                <w:kern w:val="0"/>
                <w:sz w:val="21"/>
                <w:szCs w:val="21"/>
              </w:rPr>
            </w:pPr>
          </w:p>
        </w:tc>
        <w:tc>
          <w:tcPr>
            <w:tcW w:w="981" w:type="pct"/>
            <w:tcBorders>
              <w:top w:val="single" w:color="auto" w:sz="4" w:space="0"/>
            </w:tcBorders>
            <w:vAlign w:val="center"/>
          </w:tcPr>
          <w:p w14:paraId="7ECCC1D5">
            <w:pPr>
              <w:pStyle w:val="76"/>
              <w:rPr>
                <w:rFonts w:hint="default" w:ascii="Times New Roman" w:hAnsi="Times New Roman" w:eastAsia="宋体" w:cs="Times New Roman"/>
                <w:kern w:val="0"/>
                <w:sz w:val="21"/>
                <w:szCs w:val="21"/>
              </w:rPr>
            </w:pPr>
          </w:p>
        </w:tc>
      </w:tr>
      <w:tr w14:paraId="3631C1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82" w:type="pct"/>
            <w:shd w:val="clear" w:color="auto" w:fill="auto"/>
            <w:vAlign w:val="center"/>
          </w:tcPr>
          <w:p w14:paraId="5EF2DE27">
            <w:pPr>
              <w:pStyle w:val="76"/>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038" w:type="pct"/>
            <w:vAlign w:val="center"/>
          </w:tcPr>
          <w:p w14:paraId="264157A2">
            <w:pPr>
              <w:pStyle w:val="76"/>
              <w:rPr>
                <w:rFonts w:hint="default" w:ascii="Times New Roman" w:hAnsi="Times New Roman" w:eastAsia="宋体" w:cs="Times New Roman"/>
                <w:kern w:val="0"/>
                <w:sz w:val="21"/>
                <w:szCs w:val="21"/>
              </w:rPr>
            </w:pPr>
          </w:p>
        </w:tc>
        <w:tc>
          <w:tcPr>
            <w:tcW w:w="1038" w:type="pct"/>
            <w:vAlign w:val="center"/>
          </w:tcPr>
          <w:p w14:paraId="33CBB70C">
            <w:pPr>
              <w:pStyle w:val="76"/>
              <w:rPr>
                <w:rFonts w:hint="default" w:ascii="Times New Roman" w:hAnsi="Times New Roman" w:eastAsia="宋体" w:cs="Times New Roman"/>
                <w:kern w:val="0"/>
                <w:sz w:val="21"/>
                <w:szCs w:val="21"/>
              </w:rPr>
            </w:pPr>
          </w:p>
        </w:tc>
        <w:tc>
          <w:tcPr>
            <w:tcW w:w="1361" w:type="pct"/>
            <w:vAlign w:val="center"/>
          </w:tcPr>
          <w:p w14:paraId="293A0EFE">
            <w:pPr>
              <w:pStyle w:val="76"/>
              <w:rPr>
                <w:rFonts w:hint="default" w:ascii="Times New Roman" w:hAnsi="Times New Roman" w:eastAsia="宋体" w:cs="Times New Roman"/>
                <w:kern w:val="0"/>
                <w:sz w:val="21"/>
                <w:szCs w:val="21"/>
              </w:rPr>
            </w:pPr>
          </w:p>
        </w:tc>
        <w:tc>
          <w:tcPr>
            <w:tcW w:w="981" w:type="pct"/>
            <w:vAlign w:val="center"/>
          </w:tcPr>
          <w:p w14:paraId="335DF2A0">
            <w:pPr>
              <w:pStyle w:val="76"/>
              <w:rPr>
                <w:rFonts w:hint="default" w:ascii="Times New Roman" w:hAnsi="Times New Roman" w:eastAsia="宋体" w:cs="Times New Roman"/>
                <w:kern w:val="0"/>
                <w:sz w:val="21"/>
                <w:szCs w:val="21"/>
              </w:rPr>
            </w:pPr>
          </w:p>
        </w:tc>
      </w:tr>
    </w:tbl>
    <w:p w14:paraId="1A0D3C21">
      <w:pPr>
        <w:pStyle w:val="73"/>
        <w:ind w:firstLine="420"/>
      </w:pPr>
    </w:p>
    <w:p w14:paraId="3A7E1954">
      <w:pPr>
        <w:spacing w:before="156" w:beforeLines="50" w:after="156" w:afterLines="50" w:line="240" w:lineRule="auto"/>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0064C7E4">
      <w:pPr>
        <w:spacing w:before="156" w:beforeLines="50" w:after="156" w:afterLines="50" w:line="240" w:lineRule="auto"/>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594E99CE">
      <w:pPr>
        <w:spacing w:before="156" w:beforeLines="50" w:after="156" w:afterLines="50" w:line="240" w:lineRule="auto"/>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1C5A80A7">
      <w:pPr>
        <w:spacing w:before="156" w:beforeLines="50" w:after="156" w:afterLines="50" w:line="240" w:lineRule="auto"/>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54ED1A4F">
      <w:pPr>
        <w:spacing w:before="156" w:beforeLines="50" w:after="156" w:afterLines="50" w:line="240" w:lineRule="auto"/>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0A1F8046">
      <w:pPr>
        <w:spacing w:before="156" w:beforeLines="50" w:after="156" w:afterLines="50" w:line="240" w:lineRule="auto"/>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21CFF6B8">
      <w:pPr>
        <w:spacing w:before="156" w:beforeLines="50" w:after="156" w:afterLines="50" w:line="240" w:lineRule="auto"/>
        <w:jc w:val="both"/>
        <w:rPr>
          <w:rFonts w:hint="eastAsia" w:ascii="Times New Roman" w:hAnsi="Times New Roman" w:eastAsia="宋体" w:cs="Times New Roman"/>
          <w:b/>
          <w:bCs/>
          <w:color w:val="000000" w:themeColor="text1"/>
          <w:sz w:val="32"/>
          <w:szCs w:val="32"/>
          <w14:textFill>
            <w14:solidFill>
              <w14:schemeClr w14:val="tx1"/>
            </w14:solidFill>
          </w14:textFill>
        </w:rPr>
      </w:pPr>
    </w:p>
    <w:p w14:paraId="242F24EA">
      <w:pPr>
        <w:spacing w:before="156" w:beforeLines="50" w:after="156" w:afterLines="50" w:line="240" w:lineRule="auto"/>
        <w:jc w:val="center"/>
        <w:rPr>
          <w:rFonts w:hint="default" w:ascii="Times New Roman" w:hAnsi="Times New Roman" w:eastAsia="宋体"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宋体" w:cs="Times New Roman"/>
          <w:b/>
          <w:bCs/>
          <w:color w:val="000000" w:themeColor="text1"/>
          <w:sz w:val="32"/>
          <w:szCs w:val="32"/>
          <w14:textFill>
            <w14:solidFill>
              <w14:schemeClr w14:val="tx1"/>
            </w14:solidFill>
          </w14:textFill>
        </w:rPr>
        <w:t>附录</w:t>
      </w:r>
      <w:r>
        <w:rPr>
          <w:rFonts w:hint="eastAsia" w:ascii="Times New Roman" w:hAnsi="Times New Roman" w:eastAsia="宋体" w:cs="Times New Roman"/>
          <w:b/>
          <w:bCs/>
          <w:color w:val="000000" w:themeColor="text1"/>
          <w:sz w:val="32"/>
          <w:szCs w:val="32"/>
          <w:lang w:val="en-US" w:eastAsia="zh-CN"/>
          <w14:textFill>
            <w14:solidFill>
              <w14:schemeClr w14:val="tx1"/>
            </w14:solidFill>
          </w14:textFill>
        </w:rPr>
        <w:t>B</w:t>
      </w:r>
      <w:r>
        <w:rPr>
          <w:rFonts w:hint="eastAsia" w:ascii="Times New Roman" w:hAnsi="Times New Roman" w:eastAsia="宋体" w:cs="Times New Roman"/>
          <w:b/>
          <w:bCs/>
          <w:color w:val="000000" w:themeColor="text1"/>
          <w:sz w:val="32"/>
          <w:szCs w:val="32"/>
          <w14:textFill>
            <w14:solidFill>
              <w14:schemeClr w14:val="tx1"/>
            </w14:solidFill>
          </w14:textFill>
        </w:rPr>
        <w:t xml:space="preserve">  集成平台</w:t>
      </w:r>
      <w:r>
        <w:rPr>
          <w:rFonts w:hint="eastAsia" w:ascii="Times New Roman" w:hAnsi="Times New Roman" w:eastAsia="宋体" w:cs="Times New Roman"/>
          <w:b/>
          <w:bCs/>
          <w:color w:val="000000" w:themeColor="text1"/>
          <w:sz w:val="32"/>
          <w:szCs w:val="32"/>
          <w:lang w:val="en-US" w:eastAsia="zh-CN"/>
          <w14:textFill>
            <w14:solidFill>
              <w14:schemeClr w14:val="tx1"/>
            </w14:solidFill>
          </w14:textFill>
        </w:rPr>
        <w:t>爬升检查表</w:t>
      </w:r>
    </w:p>
    <w:p w14:paraId="3CE228B0">
      <w:pPr>
        <w:spacing w:before="156" w:beforeLines="50" w:after="156" w:afterLines="50" w:line="240" w:lineRule="auto"/>
        <w:jc w:val="center"/>
        <w:rPr>
          <w:rFonts w:hint="default" w:ascii="Arial" w:hAnsi="Arial" w:eastAsia="黑体" w:cs="Arial"/>
          <w:b w:val="0"/>
          <w:bCs w:val="0"/>
          <w:color w:val="000000" w:themeColor="text1"/>
          <w:sz w:val="21"/>
          <w:szCs w:val="21"/>
          <w:lang w:val="en-US" w:eastAsia="zh-CN"/>
          <w14:textFill>
            <w14:solidFill>
              <w14:schemeClr w14:val="tx1"/>
            </w14:solidFill>
          </w14:textFill>
        </w:rPr>
      </w:pPr>
      <w:r>
        <w:rPr>
          <w:rFonts w:hint="eastAsia" w:ascii="Arial" w:hAnsi="Arial" w:eastAsia="黑体" w:cs="Arial"/>
          <w:b w:val="0"/>
          <w:bCs w:val="0"/>
          <w:color w:val="000000" w:themeColor="text1"/>
          <w:sz w:val="21"/>
          <w:szCs w:val="21"/>
          <w:lang w:val="en-US" w:eastAsia="zh-CN"/>
          <w14:textFill>
            <w14:solidFill>
              <w14:schemeClr w14:val="tx1"/>
            </w14:solidFill>
          </w14:textFill>
        </w:rPr>
        <w:t>表B 01 集成平台预顶升实施表</w:t>
      </w:r>
    </w:p>
    <w:tbl>
      <w:tblPr>
        <w:tblStyle w:val="6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89"/>
        <w:gridCol w:w="7"/>
        <w:gridCol w:w="1059"/>
        <w:gridCol w:w="5451"/>
        <w:gridCol w:w="1047"/>
        <w:gridCol w:w="907"/>
      </w:tblGrid>
      <w:tr w14:paraId="085FA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325" w:type="pct"/>
            <w:vAlign w:val="center"/>
          </w:tcPr>
          <w:p w14:paraId="27F4C902">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587" w:type="pct"/>
            <w:gridSpan w:val="2"/>
            <w:vAlign w:val="center"/>
          </w:tcPr>
          <w:p w14:paraId="0EFBE70C">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检查项目</w:t>
            </w:r>
          </w:p>
        </w:tc>
        <w:tc>
          <w:tcPr>
            <w:tcW w:w="3009" w:type="pct"/>
            <w:vAlign w:val="center"/>
          </w:tcPr>
          <w:p w14:paraId="7E714BD8">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核查内容</w:t>
            </w:r>
          </w:p>
        </w:tc>
        <w:tc>
          <w:tcPr>
            <w:tcW w:w="578" w:type="pct"/>
            <w:vAlign w:val="center"/>
          </w:tcPr>
          <w:p w14:paraId="5BB0264A">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核查结果</w:t>
            </w:r>
          </w:p>
        </w:tc>
        <w:tc>
          <w:tcPr>
            <w:tcW w:w="497" w:type="pct"/>
            <w:vAlign w:val="center"/>
          </w:tcPr>
          <w:p w14:paraId="1BDFE3FB">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14:paraId="0FF1E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8" w:hRule="atLeast"/>
          <w:jc w:val="center"/>
        </w:trPr>
        <w:tc>
          <w:tcPr>
            <w:tcW w:w="325" w:type="pct"/>
            <w:vAlign w:val="center"/>
          </w:tcPr>
          <w:p w14:paraId="4D11E87E">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587" w:type="pct"/>
            <w:gridSpan w:val="2"/>
            <w:vAlign w:val="center"/>
          </w:tcPr>
          <w:p w14:paraId="3279F0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行为</w:t>
            </w:r>
          </w:p>
        </w:tc>
        <w:tc>
          <w:tcPr>
            <w:tcW w:w="3009" w:type="pct"/>
            <w:vAlign w:val="center"/>
          </w:tcPr>
          <w:p w14:paraId="7CBE32D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总监理工程师、总包单位项目负责人、设计单位项目负责人、安拆单位项目负责人、总包项目技术负 责人、总包项目安全负责人、总包责任工程师、总包专职安全员是否到场</w:t>
            </w:r>
          </w:p>
        </w:tc>
        <w:tc>
          <w:tcPr>
            <w:tcW w:w="578" w:type="pct"/>
            <w:vAlign w:val="center"/>
          </w:tcPr>
          <w:p w14:paraId="1666B740">
            <w:pPr>
              <w:bidi w:val="0"/>
              <w:jc w:val="center"/>
              <w:rPr>
                <w:rFonts w:hint="default" w:ascii="Times New Roman" w:hAnsi="Times New Roman" w:eastAsia="宋体" w:cs="Times New Roman"/>
                <w:sz w:val="21"/>
                <w:szCs w:val="21"/>
              </w:rPr>
            </w:pPr>
          </w:p>
        </w:tc>
        <w:tc>
          <w:tcPr>
            <w:tcW w:w="497" w:type="pct"/>
            <w:vAlign w:val="center"/>
          </w:tcPr>
          <w:p w14:paraId="2334888D">
            <w:pPr>
              <w:bidi w:val="0"/>
              <w:jc w:val="center"/>
              <w:rPr>
                <w:rFonts w:hint="default" w:ascii="Times New Roman" w:hAnsi="Times New Roman" w:eastAsia="宋体" w:cs="Times New Roman"/>
                <w:sz w:val="21"/>
                <w:szCs w:val="21"/>
              </w:rPr>
            </w:pPr>
          </w:p>
        </w:tc>
      </w:tr>
      <w:tr w14:paraId="10FEE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jc w:val="center"/>
        </w:trPr>
        <w:tc>
          <w:tcPr>
            <w:tcW w:w="325" w:type="pct"/>
            <w:vAlign w:val="center"/>
          </w:tcPr>
          <w:p w14:paraId="14760E3C">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587" w:type="pct"/>
            <w:gridSpan w:val="2"/>
            <w:vMerge w:val="restart"/>
            <w:tcBorders>
              <w:bottom w:val="nil"/>
            </w:tcBorders>
            <w:vAlign w:val="center"/>
          </w:tcPr>
          <w:p w14:paraId="091391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资料</w:t>
            </w:r>
          </w:p>
        </w:tc>
        <w:tc>
          <w:tcPr>
            <w:tcW w:w="3009" w:type="pct"/>
            <w:vAlign w:val="center"/>
          </w:tcPr>
          <w:p w14:paraId="1BDF6E8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集成平台各系统安装验收合格，过程资料完整</w:t>
            </w:r>
          </w:p>
        </w:tc>
        <w:tc>
          <w:tcPr>
            <w:tcW w:w="578" w:type="pct"/>
            <w:vAlign w:val="center"/>
          </w:tcPr>
          <w:p w14:paraId="5BA9C085">
            <w:pPr>
              <w:bidi w:val="0"/>
              <w:jc w:val="center"/>
              <w:rPr>
                <w:rFonts w:hint="default" w:ascii="Times New Roman" w:hAnsi="Times New Roman" w:eastAsia="宋体" w:cs="Times New Roman"/>
                <w:sz w:val="21"/>
                <w:szCs w:val="21"/>
              </w:rPr>
            </w:pPr>
          </w:p>
        </w:tc>
        <w:tc>
          <w:tcPr>
            <w:tcW w:w="497" w:type="pct"/>
            <w:vAlign w:val="center"/>
          </w:tcPr>
          <w:p w14:paraId="28F6EFF6">
            <w:pPr>
              <w:bidi w:val="0"/>
              <w:jc w:val="center"/>
              <w:rPr>
                <w:rFonts w:hint="default" w:ascii="Times New Roman" w:hAnsi="Times New Roman" w:eastAsia="宋体" w:cs="Times New Roman"/>
                <w:sz w:val="21"/>
                <w:szCs w:val="21"/>
              </w:rPr>
            </w:pPr>
          </w:p>
        </w:tc>
      </w:tr>
      <w:tr w14:paraId="60B03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325" w:type="pct"/>
            <w:vAlign w:val="center"/>
          </w:tcPr>
          <w:p w14:paraId="1EBE3ED5">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587" w:type="pct"/>
            <w:gridSpan w:val="2"/>
            <w:vMerge w:val="continue"/>
            <w:tcBorders>
              <w:top w:val="nil"/>
              <w:bottom w:val="nil"/>
            </w:tcBorders>
            <w:vAlign w:val="center"/>
          </w:tcPr>
          <w:p w14:paraId="24DB04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3009" w:type="pct"/>
            <w:vAlign w:val="center"/>
          </w:tcPr>
          <w:p w14:paraId="4532FA2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安全技术交底记录是否完整</w:t>
            </w:r>
          </w:p>
        </w:tc>
        <w:tc>
          <w:tcPr>
            <w:tcW w:w="578" w:type="pct"/>
            <w:vAlign w:val="center"/>
          </w:tcPr>
          <w:p w14:paraId="451454AC">
            <w:pPr>
              <w:bidi w:val="0"/>
              <w:jc w:val="center"/>
              <w:rPr>
                <w:rFonts w:hint="default" w:ascii="Times New Roman" w:hAnsi="Times New Roman" w:eastAsia="宋体" w:cs="Times New Roman"/>
                <w:sz w:val="21"/>
                <w:szCs w:val="21"/>
              </w:rPr>
            </w:pPr>
          </w:p>
        </w:tc>
        <w:tc>
          <w:tcPr>
            <w:tcW w:w="497" w:type="pct"/>
            <w:vAlign w:val="center"/>
          </w:tcPr>
          <w:p w14:paraId="3E6F53AF">
            <w:pPr>
              <w:bidi w:val="0"/>
              <w:jc w:val="center"/>
              <w:rPr>
                <w:rFonts w:hint="default" w:ascii="Times New Roman" w:hAnsi="Times New Roman" w:eastAsia="宋体" w:cs="Times New Roman"/>
                <w:sz w:val="21"/>
                <w:szCs w:val="21"/>
              </w:rPr>
            </w:pPr>
          </w:p>
        </w:tc>
      </w:tr>
      <w:tr w14:paraId="796A4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325" w:type="pct"/>
            <w:vAlign w:val="center"/>
          </w:tcPr>
          <w:p w14:paraId="22A5595F">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587" w:type="pct"/>
            <w:gridSpan w:val="2"/>
            <w:vMerge w:val="continue"/>
            <w:tcBorders>
              <w:top w:val="nil"/>
            </w:tcBorders>
            <w:vAlign w:val="center"/>
          </w:tcPr>
          <w:p w14:paraId="04C024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3009" w:type="pct"/>
            <w:vAlign w:val="center"/>
          </w:tcPr>
          <w:p w14:paraId="51BD872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集成平台操作规程及使用说明书是否齐全</w:t>
            </w:r>
          </w:p>
        </w:tc>
        <w:tc>
          <w:tcPr>
            <w:tcW w:w="578" w:type="pct"/>
            <w:vAlign w:val="center"/>
          </w:tcPr>
          <w:p w14:paraId="5B052D80">
            <w:pPr>
              <w:bidi w:val="0"/>
              <w:jc w:val="center"/>
              <w:rPr>
                <w:rFonts w:hint="default" w:ascii="Times New Roman" w:hAnsi="Times New Roman" w:eastAsia="宋体" w:cs="Times New Roman"/>
                <w:sz w:val="21"/>
                <w:szCs w:val="21"/>
              </w:rPr>
            </w:pPr>
          </w:p>
        </w:tc>
        <w:tc>
          <w:tcPr>
            <w:tcW w:w="497" w:type="pct"/>
            <w:vAlign w:val="center"/>
          </w:tcPr>
          <w:p w14:paraId="245B158A">
            <w:pPr>
              <w:bidi w:val="0"/>
              <w:jc w:val="center"/>
              <w:rPr>
                <w:rFonts w:hint="default" w:ascii="Times New Roman" w:hAnsi="Times New Roman" w:eastAsia="宋体" w:cs="Times New Roman"/>
                <w:sz w:val="21"/>
                <w:szCs w:val="21"/>
              </w:rPr>
            </w:pPr>
          </w:p>
        </w:tc>
      </w:tr>
      <w:tr w14:paraId="0A833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jc w:val="center"/>
        </w:trPr>
        <w:tc>
          <w:tcPr>
            <w:tcW w:w="325" w:type="pct"/>
            <w:vAlign w:val="center"/>
          </w:tcPr>
          <w:p w14:paraId="4CCBF9DD">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w:t>
            </w:r>
          </w:p>
        </w:tc>
        <w:tc>
          <w:tcPr>
            <w:tcW w:w="587" w:type="pct"/>
            <w:gridSpan w:val="2"/>
            <w:vMerge w:val="restart"/>
            <w:tcBorders>
              <w:bottom w:val="nil"/>
            </w:tcBorders>
            <w:vAlign w:val="center"/>
          </w:tcPr>
          <w:p w14:paraId="3A97B0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建筑主体结构</w:t>
            </w:r>
          </w:p>
        </w:tc>
        <w:tc>
          <w:tcPr>
            <w:tcW w:w="3009" w:type="pct"/>
            <w:vAlign w:val="center"/>
          </w:tcPr>
          <w:p w14:paraId="071F712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主体结构混凝土浇筑完成，</w:t>
            </w:r>
            <w:r>
              <w:rPr>
                <w:rFonts w:hint="default" w:ascii="Times New Roman" w:hAnsi="Times New Roman" w:eastAsia="宋体" w:cs="Times New Roman"/>
                <w:sz w:val="21"/>
                <w:szCs w:val="21"/>
                <w:lang w:val="en-US" w:eastAsia="zh-CN"/>
              </w:rPr>
              <w:t>受力</w:t>
            </w:r>
            <w:r>
              <w:rPr>
                <w:rFonts w:hint="default" w:ascii="Times New Roman" w:hAnsi="Times New Roman" w:eastAsia="宋体" w:cs="Times New Roman"/>
                <w:sz w:val="21"/>
                <w:szCs w:val="21"/>
              </w:rPr>
              <w:t>附墙支座位置混凝土强度达到20MPa</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强度回弹记录完整</w:t>
            </w:r>
          </w:p>
        </w:tc>
        <w:tc>
          <w:tcPr>
            <w:tcW w:w="578" w:type="pct"/>
            <w:vAlign w:val="center"/>
          </w:tcPr>
          <w:p w14:paraId="3A8173D3">
            <w:pPr>
              <w:bidi w:val="0"/>
              <w:jc w:val="center"/>
              <w:rPr>
                <w:rFonts w:hint="default" w:ascii="Times New Roman" w:hAnsi="Times New Roman" w:eastAsia="宋体" w:cs="Times New Roman"/>
                <w:sz w:val="21"/>
                <w:szCs w:val="21"/>
              </w:rPr>
            </w:pPr>
          </w:p>
        </w:tc>
        <w:tc>
          <w:tcPr>
            <w:tcW w:w="497" w:type="pct"/>
            <w:vAlign w:val="center"/>
          </w:tcPr>
          <w:p w14:paraId="6B6561CB">
            <w:pPr>
              <w:bidi w:val="0"/>
              <w:jc w:val="center"/>
              <w:rPr>
                <w:rFonts w:hint="default" w:ascii="Times New Roman" w:hAnsi="Times New Roman" w:eastAsia="宋体" w:cs="Times New Roman"/>
                <w:sz w:val="21"/>
                <w:szCs w:val="21"/>
              </w:rPr>
            </w:pPr>
          </w:p>
        </w:tc>
      </w:tr>
      <w:tr w14:paraId="74EA6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325" w:type="pct"/>
            <w:vAlign w:val="center"/>
          </w:tcPr>
          <w:p w14:paraId="7DBB3FC6">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w:t>
            </w:r>
          </w:p>
        </w:tc>
        <w:tc>
          <w:tcPr>
            <w:tcW w:w="587" w:type="pct"/>
            <w:gridSpan w:val="2"/>
            <w:vMerge w:val="continue"/>
            <w:tcBorders>
              <w:top w:val="nil"/>
            </w:tcBorders>
            <w:vAlign w:val="center"/>
          </w:tcPr>
          <w:p w14:paraId="1CE8AE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3009" w:type="pct"/>
            <w:vAlign w:val="center"/>
          </w:tcPr>
          <w:p w14:paraId="4E7828B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建筑物内无外伸材料，对外防护架体提升无影响</w:t>
            </w:r>
          </w:p>
        </w:tc>
        <w:tc>
          <w:tcPr>
            <w:tcW w:w="578" w:type="pct"/>
            <w:vAlign w:val="center"/>
          </w:tcPr>
          <w:p w14:paraId="1753654F">
            <w:pPr>
              <w:bidi w:val="0"/>
              <w:jc w:val="center"/>
              <w:rPr>
                <w:rFonts w:hint="default" w:ascii="Times New Roman" w:hAnsi="Times New Roman" w:eastAsia="宋体" w:cs="Times New Roman"/>
                <w:sz w:val="21"/>
                <w:szCs w:val="21"/>
              </w:rPr>
            </w:pPr>
          </w:p>
        </w:tc>
        <w:tc>
          <w:tcPr>
            <w:tcW w:w="497" w:type="pct"/>
            <w:vAlign w:val="center"/>
          </w:tcPr>
          <w:p w14:paraId="7E90F62F">
            <w:pPr>
              <w:bidi w:val="0"/>
              <w:jc w:val="center"/>
              <w:rPr>
                <w:rFonts w:hint="default" w:ascii="Times New Roman" w:hAnsi="Times New Roman" w:eastAsia="宋体" w:cs="Times New Roman"/>
                <w:sz w:val="21"/>
                <w:szCs w:val="21"/>
              </w:rPr>
            </w:pPr>
          </w:p>
        </w:tc>
      </w:tr>
      <w:tr w14:paraId="5D359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325" w:type="pct"/>
            <w:vAlign w:val="center"/>
          </w:tcPr>
          <w:p w14:paraId="6DAAB1D8">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w:t>
            </w:r>
          </w:p>
        </w:tc>
        <w:tc>
          <w:tcPr>
            <w:tcW w:w="587" w:type="pct"/>
            <w:gridSpan w:val="2"/>
            <w:vMerge w:val="restart"/>
            <w:tcBorders>
              <w:bottom w:val="nil"/>
            </w:tcBorders>
            <w:vAlign w:val="center"/>
          </w:tcPr>
          <w:p w14:paraId="4E9BDD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集成平台</w:t>
            </w:r>
          </w:p>
          <w:p w14:paraId="1BC985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整体要求</w:t>
            </w:r>
          </w:p>
        </w:tc>
        <w:tc>
          <w:tcPr>
            <w:tcW w:w="3009" w:type="pct"/>
            <w:vAlign w:val="center"/>
          </w:tcPr>
          <w:p w14:paraId="5667B34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各系统及附属设备设施全部安装完成</w:t>
            </w:r>
          </w:p>
        </w:tc>
        <w:tc>
          <w:tcPr>
            <w:tcW w:w="578" w:type="pct"/>
            <w:vAlign w:val="center"/>
          </w:tcPr>
          <w:p w14:paraId="1AC0DFBD">
            <w:pPr>
              <w:bidi w:val="0"/>
              <w:jc w:val="center"/>
              <w:rPr>
                <w:rFonts w:hint="default" w:ascii="Times New Roman" w:hAnsi="Times New Roman" w:eastAsia="宋体" w:cs="Times New Roman"/>
                <w:sz w:val="21"/>
                <w:szCs w:val="21"/>
              </w:rPr>
            </w:pPr>
          </w:p>
        </w:tc>
        <w:tc>
          <w:tcPr>
            <w:tcW w:w="497" w:type="pct"/>
            <w:vAlign w:val="center"/>
          </w:tcPr>
          <w:p w14:paraId="271F1DF5">
            <w:pPr>
              <w:bidi w:val="0"/>
              <w:jc w:val="center"/>
              <w:rPr>
                <w:rFonts w:hint="default" w:ascii="Times New Roman" w:hAnsi="Times New Roman" w:eastAsia="宋体" w:cs="Times New Roman"/>
                <w:sz w:val="21"/>
                <w:szCs w:val="21"/>
              </w:rPr>
            </w:pPr>
          </w:p>
        </w:tc>
      </w:tr>
      <w:tr w14:paraId="702DA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jc w:val="center"/>
        </w:trPr>
        <w:tc>
          <w:tcPr>
            <w:tcW w:w="325" w:type="pct"/>
            <w:vAlign w:val="center"/>
          </w:tcPr>
          <w:p w14:paraId="10267590">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w:t>
            </w:r>
          </w:p>
        </w:tc>
        <w:tc>
          <w:tcPr>
            <w:tcW w:w="587" w:type="pct"/>
            <w:gridSpan w:val="2"/>
            <w:vMerge w:val="continue"/>
            <w:tcBorders>
              <w:top w:val="nil"/>
              <w:bottom w:val="nil"/>
            </w:tcBorders>
            <w:vAlign w:val="center"/>
          </w:tcPr>
          <w:p w14:paraId="6AF3F80D">
            <w:pPr>
              <w:bidi w:val="0"/>
              <w:jc w:val="center"/>
              <w:rPr>
                <w:rFonts w:hint="default" w:ascii="Times New Roman" w:hAnsi="Times New Roman" w:eastAsia="宋体" w:cs="Times New Roman"/>
                <w:sz w:val="21"/>
                <w:szCs w:val="21"/>
              </w:rPr>
            </w:pPr>
          </w:p>
        </w:tc>
        <w:tc>
          <w:tcPr>
            <w:tcW w:w="3009" w:type="pct"/>
            <w:vAlign w:val="center"/>
          </w:tcPr>
          <w:p w14:paraId="1847BFA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钢平台顶部及挂架内部无材料堆载</w:t>
            </w:r>
          </w:p>
        </w:tc>
        <w:tc>
          <w:tcPr>
            <w:tcW w:w="578" w:type="pct"/>
            <w:vAlign w:val="center"/>
          </w:tcPr>
          <w:p w14:paraId="51B0A9C0">
            <w:pPr>
              <w:bidi w:val="0"/>
              <w:jc w:val="center"/>
              <w:rPr>
                <w:rFonts w:hint="default" w:ascii="Times New Roman" w:hAnsi="Times New Roman" w:eastAsia="宋体" w:cs="Times New Roman"/>
                <w:sz w:val="21"/>
                <w:szCs w:val="21"/>
              </w:rPr>
            </w:pPr>
          </w:p>
        </w:tc>
        <w:tc>
          <w:tcPr>
            <w:tcW w:w="497" w:type="pct"/>
            <w:vAlign w:val="center"/>
          </w:tcPr>
          <w:p w14:paraId="64ECA259">
            <w:pPr>
              <w:bidi w:val="0"/>
              <w:jc w:val="center"/>
              <w:rPr>
                <w:rFonts w:hint="default" w:ascii="Times New Roman" w:hAnsi="Times New Roman" w:eastAsia="宋体" w:cs="Times New Roman"/>
                <w:sz w:val="21"/>
                <w:szCs w:val="21"/>
              </w:rPr>
            </w:pPr>
          </w:p>
        </w:tc>
      </w:tr>
      <w:tr w14:paraId="7DCB0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jc w:val="center"/>
        </w:trPr>
        <w:tc>
          <w:tcPr>
            <w:tcW w:w="325" w:type="pct"/>
            <w:vAlign w:val="center"/>
          </w:tcPr>
          <w:p w14:paraId="3C944AC6">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w:t>
            </w:r>
          </w:p>
        </w:tc>
        <w:tc>
          <w:tcPr>
            <w:tcW w:w="587" w:type="pct"/>
            <w:gridSpan w:val="2"/>
            <w:vMerge w:val="continue"/>
            <w:tcBorders>
              <w:top w:val="nil"/>
              <w:bottom w:val="nil"/>
            </w:tcBorders>
            <w:vAlign w:val="center"/>
          </w:tcPr>
          <w:p w14:paraId="3857A33C">
            <w:pPr>
              <w:bidi w:val="0"/>
              <w:jc w:val="center"/>
              <w:rPr>
                <w:rFonts w:hint="default" w:ascii="Times New Roman" w:hAnsi="Times New Roman" w:eastAsia="宋体" w:cs="Times New Roman"/>
                <w:sz w:val="21"/>
                <w:szCs w:val="21"/>
              </w:rPr>
            </w:pPr>
          </w:p>
        </w:tc>
        <w:tc>
          <w:tcPr>
            <w:tcW w:w="3009" w:type="pct"/>
            <w:vAlign w:val="center"/>
          </w:tcPr>
          <w:p w14:paraId="4676CA1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挂架内部防护翻板全部翻起，固定可靠</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挂架内无影响架体提升的障碍物</w:t>
            </w:r>
          </w:p>
        </w:tc>
        <w:tc>
          <w:tcPr>
            <w:tcW w:w="578" w:type="pct"/>
            <w:vAlign w:val="center"/>
          </w:tcPr>
          <w:p w14:paraId="50A23261">
            <w:pPr>
              <w:bidi w:val="0"/>
              <w:jc w:val="center"/>
              <w:rPr>
                <w:rFonts w:hint="default" w:ascii="Times New Roman" w:hAnsi="Times New Roman" w:eastAsia="宋体" w:cs="Times New Roman"/>
                <w:sz w:val="21"/>
                <w:szCs w:val="21"/>
              </w:rPr>
            </w:pPr>
          </w:p>
        </w:tc>
        <w:tc>
          <w:tcPr>
            <w:tcW w:w="497" w:type="pct"/>
            <w:vAlign w:val="center"/>
          </w:tcPr>
          <w:p w14:paraId="6236C0C6">
            <w:pPr>
              <w:bidi w:val="0"/>
              <w:jc w:val="center"/>
              <w:rPr>
                <w:rFonts w:hint="default" w:ascii="Times New Roman" w:hAnsi="Times New Roman" w:eastAsia="宋体" w:cs="Times New Roman"/>
                <w:sz w:val="21"/>
                <w:szCs w:val="21"/>
              </w:rPr>
            </w:pPr>
          </w:p>
        </w:tc>
      </w:tr>
      <w:tr w14:paraId="2E90F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jc w:val="center"/>
        </w:trPr>
        <w:tc>
          <w:tcPr>
            <w:tcW w:w="325" w:type="pct"/>
            <w:vAlign w:val="center"/>
          </w:tcPr>
          <w:p w14:paraId="01FE0113">
            <w:pPr>
              <w:bidi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10</w:t>
            </w:r>
          </w:p>
        </w:tc>
        <w:tc>
          <w:tcPr>
            <w:tcW w:w="587" w:type="pct"/>
            <w:gridSpan w:val="2"/>
            <w:vMerge w:val="continue"/>
            <w:tcBorders>
              <w:top w:val="nil"/>
            </w:tcBorders>
            <w:vAlign w:val="center"/>
          </w:tcPr>
          <w:p w14:paraId="0E301B47">
            <w:pPr>
              <w:bidi w:val="0"/>
              <w:jc w:val="center"/>
              <w:rPr>
                <w:rFonts w:hint="default" w:ascii="Times New Roman" w:hAnsi="Times New Roman" w:eastAsia="宋体" w:cs="Times New Roman"/>
                <w:sz w:val="21"/>
                <w:szCs w:val="21"/>
              </w:rPr>
            </w:pPr>
          </w:p>
        </w:tc>
        <w:tc>
          <w:tcPr>
            <w:tcW w:w="3009" w:type="pct"/>
            <w:vAlign w:val="center"/>
          </w:tcPr>
          <w:p w14:paraId="59C8A78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防坠、防倾覆装置性能良好可靠</w:t>
            </w:r>
          </w:p>
        </w:tc>
        <w:tc>
          <w:tcPr>
            <w:tcW w:w="578" w:type="pct"/>
            <w:vAlign w:val="center"/>
          </w:tcPr>
          <w:p w14:paraId="56C87E07">
            <w:pPr>
              <w:bidi w:val="0"/>
              <w:jc w:val="center"/>
              <w:rPr>
                <w:rFonts w:hint="default" w:ascii="Times New Roman" w:hAnsi="Times New Roman" w:eastAsia="宋体" w:cs="Times New Roman"/>
                <w:sz w:val="21"/>
                <w:szCs w:val="21"/>
              </w:rPr>
            </w:pPr>
          </w:p>
        </w:tc>
        <w:tc>
          <w:tcPr>
            <w:tcW w:w="497" w:type="pct"/>
            <w:vAlign w:val="center"/>
          </w:tcPr>
          <w:p w14:paraId="66C2F352">
            <w:pPr>
              <w:bidi w:val="0"/>
              <w:jc w:val="center"/>
              <w:rPr>
                <w:rFonts w:hint="default" w:ascii="Times New Roman" w:hAnsi="Times New Roman" w:eastAsia="宋体" w:cs="Times New Roman"/>
                <w:sz w:val="21"/>
                <w:szCs w:val="21"/>
              </w:rPr>
            </w:pPr>
          </w:p>
        </w:tc>
      </w:tr>
      <w:tr w14:paraId="2FF66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29" w:type="pct"/>
            <w:gridSpan w:val="2"/>
            <w:vAlign w:val="center"/>
          </w:tcPr>
          <w:p w14:paraId="283218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w:t>
            </w:r>
          </w:p>
        </w:tc>
        <w:tc>
          <w:tcPr>
            <w:tcW w:w="583" w:type="pct"/>
            <w:vMerge w:val="restart"/>
            <w:tcBorders>
              <w:bottom w:val="nil"/>
            </w:tcBorders>
            <w:vAlign w:val="center"/>
          </w:tcPr>
          <w:p w14:paraId="0EB5E7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p w14:paraId="39FDCA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预顶升操作要求</w:t>
            </w:r>
          </w:p>
        </w:tc>
        <w:tc>
          <w:tcPr>
            <w:tcW w:w="3009" w:type="pct"/>
            <w:vAlign w:val="center"/>
          </w:tcPr>
          <w:p w14:paraId="522D2BB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控制台通电，油缸支出50mm</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随后停止支出。保持导轨立柱上部悬空，即集成平台整体重量由油 缸承担，油缸处于保压状态。稳压静止15min~ 20min</w:t>
            </w:r>
            <w:r>
              <w:rPr>
                <w:rFonts w:hint="eastAsia" w:cs="Times New Roman"/>
                <w:sz w:val="21"/>
                <w:szCs w:val="21"/>
                <w:lang w:eastAsia="zh-CN"/>
              </w:rPr>
              <w:t>，</w:t>
            </w:r>
            <w:r>
              <w:rPr>
                <w:rFonts w:hint="default" w:ascii="Times New Roman" w:hAnsi="Times New Roman" w:eastAsia="宋体" w:cs="Times New Roman"/>
                <w:sz w:val="21"/>
                <w:szCs w:val="21"/>
              </w:rPr>
              <w:t>复查液压油缸、液压泵站、各阀件稳定情 况，无漏油、泄压情况</w:t>
            </w:r>
          </w:p>
        </w:tc>
        <w:tc>
          <w:tcPr>
            <w:tcW w:w="578" w:type="pct"/>
            <w:vAlign w:val="center"/>
          </w:tcPr>
          <w:p w14:paraId="1434F1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497" w:type="pct"/>
            <w:vAlign w:val="center"/>
          </w:tcPr>
          <w:p w14:paraId="5DF471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415C7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29" w:type="pct"/>
            <w:gridSpan w:val="2"/>
            <w:vAlign w:val="center"/>
          </w:tcPr>
          <w:p w14:paraId="5B152F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w:t>
            </w:r>
          </w:p>
        </w:tc>
        <w:tc>
          <w:tcPr>
            <w:tcW w:w="583" w:type="pct"/>
            <w:vMerge w:val="continue"/>
            <w:tcBorders>
              <w:top w:val="nil"/>
              <w:bottom w:val="nil"/>
            </w:tcBorders>
            <w:vAlign w:val="center"/>
          </w:tcPr>
          <w:p w14:paraId="018521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3009" w:type="pct"/>
            <w:vAlign w:val="center"/>
          </w:tcPr>
          <w:p w14:paraId="7894DB1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预顶升过程应采用一键同步顶升模式，各支点油 缸支出速度符合设计要求，任意油缸支出行程差 符合设计要求</w:t>
            </w:r>
          </w:p>
        </w:tc>
        <w:tc>
          <w:tcPr>
            <w:tcW w:w="578" w:type="pct"/>
            <w:vAlign w:val="center"/>
          </w:tcPr>
          <w:p w14:paraId="4F0705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497" w:type="pct"/>
            <w:vAlign w:val="center"/>
          </w:tcPr>
          <w:p w14:paraId="7A3A76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7844A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29" w:type="pct"/>
            <w:gridSpan w:val="2"/>
            <w:vAlign w:val="center"/>
          </w:tcPr>
          <w:p w14:paraId="3F4E00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13</w:t>
            </w:r>
          </w:p>
        </w:tc>
        <w:tc>
          <w:tcPr>
            <w:tcW w:w="583" w:type="pct"/>
            <w:vMerge w:val="continue"/>
            <w:tcBorders>
              <w:top w:val="nil"/>
              <w:bottom w:val="nil"/>
            </w:tcBorders>
            <w:vAlign w:val="center"/>
          </w:tcPr>
          <w:p w14:paraId="43D308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3009" w:type="pct"/>
            <w:vAlign w:val="center"/>
          </w:tcPr>
          <w:p w14:paraId="388E105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顶升过程外架架体垂直向上提升，无影响结构安 全的晃动、倾斜情况</w:t>
            </w:r>
          </w:p>
        </w:tc>
        <w:tc>
          <w:tcPr>
            <w:tcW w:w="578" w:type="pct"/>
            <w:vAlign w:val="center"/>
          </w:tcPr>
          <w:p w14:paraId="4DE354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497" w:type="pct"/>
            <w:vAlign w:val="center"/>
          </w:tcPr>
          <w:p w14:paraId="10BCFD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60268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29" w:type="pct"/>
            <w:gridSpan w:val="2"/>
            <w:vAlign w:val="center"/>
          </w:tcPr>
          <w:p w14:paraId="2EA2FB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14</w:t>
            </w:r>
          </w:p>
        </w:tc>
        <w:tc>
          <w:tcPr>
            <w:tcW w:w="583" w:type="pct"/>
            <w:vMerge w:val="continue"/>
            <w:tcBorders>
              <w:top w:val="nil"/>
            </w:tcBorders>
            <w:vAlign w:val="center"/>
          </w:tcPr>
          <w:p w14:paraId="17396A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3009" w:type="pct"/>
            <w:vAlign w:val="center"/>
          </w:tcPr>
          <w:p w14:paraId="5E31BF8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提升及稳压过程监测预警系统正常，各承力结构 无变形，钢平台桁架挠度符合设计要求</w:t>
            </w:r>
          </w:p>
        </w:tc>
        <w:tc>
          <w:tcPr>
            <w:tcW w:w="578" w:type="pct"/>
            <w:vAlign w:val="center"/>
          </w:tcPr>
          <w:p w14:paraId="2A2E24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497" w:type="pct"/>
            <w:vAlign w:val="center"/>
          </w:tcPr>
          <w:p w14:paraId="6BB3B9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24A51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29" w:type="pct"/>
            <w:gridSpan w:val="2"/>
            <w:vAlign w:val="center"/>
          </w:tcPr>
          <w:p w14:paraId="451398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15</w:t>
            </w:r>
          </w:p>
        </w:tc>
        <w:tc>
          <w:tcPr>
            <w:tcW w:w="583" w:type="pct"/>
            <w:vMerge w:val="restart"/>
            <w:tcBorders>
              <w:bottom w:val="nil"/>
            </w:tcBorders>
            <w:vAlign w:val="center"/>
          </w:tcPr>
          <w:p w14:paraId="3BBEA3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预顶升</w:t>
            </w:r>
          </w:p>
          <w:p w14:paraId="32DF87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结束操</w:t>
            </w:r>
          </w:p>
          <w:p w14:paraId="646124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作要求</w:t>
            </w:r>
          </w:p>
        </w:tc>
        <w:tc>
          <w:tcPr>
            <w:tcW w:w="3009" w:type="pct"/>
            <w:vAlign w:val="center"/>
          </w:tcPr>
          <w:p w14:paraId="50DD142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稳压静止15min～20min</w:t>
            </w:r>
            <w:r>
              <w:rPr>
                <w:rFonts w:hint="eastAsia" w:cs="Times New Roman"/>
                <w:sz w:val="21"/>
                <w:szCs w:val="21"/>
                <w:lang w:eastAsia="zh-CN"/>
              </w:rPr>
              <w:t>，</w:t>
            </w:r>
            <w:r>
              <w:rPr>
                <w:rFonts w:hint="default" w:ascii="Times New Roman" w:hAnsi="Times New Roman" w:eastAsia="宋体" w:cs="Times New Roman"/>
                <w:sz w:val="21"/>
                <w:szCs w:val="21"/>
              </w:rPr>
              <w:t>各项指标满足设计要求，进行油缸回收试验，将油缸回落至初始位置</w:t>
            </w:r>
          </w:p>
        </w:tc>
        <w:tc>
          <w:tcPr>
            <w:tcW w:w="578" w:type="pct"/>
            <w:vAlign w:val="center"/>
          </w:tcPr>
          <w:p w14:paraId="4A3BDC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497" w:type="pct"/>
            <w:vAlign w:val="center"/>
          </w:tcPr>
          <w:p w14:paraId="3C756B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1E750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29" w:type="pct"/>
            <w:gridSpan w:val="2"/>
            <w:vAlign w:val="center"/>
          </w:tcPr>
          <w:p w14:paraId="7815A5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p w14:paraId="2F5C15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16</w:t>
            </w:r>
          </w:p>
        </w:tc>
        <w:tc>
          <w:tcPr>
            <w:tcW w:w="583" w:type="pct"/>
            <w:vMerge w:val="continue"/>
            <w:tcBorders>
              <w:top w:val="nil"/>
              <w:bottom w:val="nil"/>
            </w:tcBorders>
            <w:vAlign w:val="center"/>
          </w:tcPr>
          <w:p w14:paraId="5CFDF7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3009" w:type="pct"/>
            <w:vAlign w:val="center"/>
          </w:tcPr>
          <w:p w14:paraId="4413DF9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油缸回收速度符合设计要求，任意支点间油缸行 程差值符合设计要求</w:t>
            </w:r>
          </w:p>
        </w:tc>
        <w:tc>
          <w:tcPr>
            <w:tcW w:w="578" w:type="pct"/>
            <w:vAlign w:val="center"/>
          </w:tcPr>
          <w:p w14:paraId="6E6F38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497" w:type="pct"/>
            <w:vAlign w:val="center"/>
          </w:tcPr>
          <w:p w14:paraId="4FF51F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0F130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29" w:type="pct"/>
            <w:gridSpan w:val="2"/>
            <w:vAlign w:val="center"/>
          </w:tcPr>
          <w:p w14:paraId="07B9A4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17</w:t>
            </w:r>
          </w:p>
        </w:tc>
        <w:tc>
          <w:tcPr>
            <w:tcW w:w="583" w:type="pct"/>
            <w:vMerge w:val="continue"/>
            <w:tcBorders>
              <w:top w:val="nil"/>
            </w:tcBorders>
            <w:vAlign w:val="center"/>
          </w:tcPr>
          <w:p w14:paraId="7D76CA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3009" w:type="pct"/>
            <w:vAlign w:val="center"/>
          </w:tcPr>
          <w:p w14:paraId="6F2CF63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监测预警系统正常，各承力结构无变形，钢平台桁 架挠度符合设计要求</w:t>
            </w:r>
          </w:p>
        </w:tc>
        <w:tc>
          <w:tcPr>
            <w:tcW w:w="578" w:type="pct"/>
            <w:vAlign w:val="center"/>
          </w:tcPr>
          <w:p w14:paraId="15DF06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497" w:type="pct"/>
            <w:vAlign w:val="center"/>
          </w:tcPr>
          <w:p w14:paraId="37E92C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668C5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913" w:type="pct"/>
            <w:gridSpan w:val="3"/>
            <w:vAlign w:val="center"/>
          </w:tcPr>
          <w:p w14:paraId="33B4FA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检查结论</w:t>
            </w:r>
          </w:p>
        </w:tc>
        <w:tc>
          <w:tcPr>
            <w:tcW w:w="4086" w:type="pct"/>
            <w:gridSpan w:val="3"/>
            <w:vAlign w:val="center"/>
          </w:tcPr>
          <w:p w14:paraId="6A6490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0F53B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5000" w:type="pct"/>
            <w:gridSpan w:val="6"/>
            <w:vAlign w:val="center"/>
          </w:tcPr>
          <w:p w14:paraId="67C242B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符合要求，同意使用口</w:t>
            </w:r>
          </w:p>
          <w:p w14:paraId="3EDA6C3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不符合要求，整改后重新组织预顶升试验□</w:t>
            </w:r>
          </w:p>
          <w:p w14:paraId="7E28171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p>
          <w:p w14:paraId="77EBAC8F">
            <w:pPr>
              <w:keepNext w:val="0"/>
              <w:keepLines w:val="0"/>
              <w:pageBreakBefore w:val="0"/>
              <w:widowControl w:val="0"/>
              <w:kinsoku/>
              <w:wordWrap/>
              <w:overflowPunct/>
              <w:topLinePunct w:val="0"/>
              <w:autoSpaceDE/>
              <w:autoSpaceDN/>
              <w:bidi w:val="0"/>
              <w:adjustRightInd/>
              <w:snapToGrid/>
              <w:spacing w:line="240" w:lineRule="auto"/>
              <w:ind w:firstLine="8400" w:firstLineChars="40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   月     日</w:t>
            </w:r>
          </w:p>
        </w:tc>
      </w:tr>
    </w:tbl>
    <w:p w14:paraId="36D183CD">
      <w:pPr>
        <w:spacing w:before="156" w:beforeLines="50" w:after="156" w:afterLines="50" w:line="240" w:lineRule="auto"/>
        <w:jc w:val="center"/>
        <w:rPr>
          <w:rFonts w:hint="eastAsia" w:ascii="Arial" w:hAnsi="Arial" w:eastAsia="黑体" w:cs="Arial"/>
          <w:b w:val="0"/>
          <w:bCs w:val="0"/>
          <w:color w:val="000000" w:themeColor="text1"/>
          <w:sz w:val="21"/>
          <w:szCs w:val="21"/>
          <w:lang w:val="en-US" w:eastAsia="zh-CN"/>
          <w14:textFill>
            <w14:solidFill>
              <w14:schemeClr w14:val="tx1"/>
            </w14:solidFill>
          </w14:textFill>
        </w:rPr>
      </w:pPr>
      <w:r>
        <w:rPr>
          <w:rFonts w:hint="eastAsia" w:ascii="Arial" w:hAnsi="Arial" w:eastAsia="黑体" w:cs="Arial"/>
          <w:b w:val="0"/>
          <w:bCs w:val="0"/>
          <w:color w:val="000000" w:themeColor="text1"/>
          <w:sz w:val="21"/>
          <w:szCs w:val="21"/>
          <w:lang w:val="en-US" w:eastAsia="zh-CN"/>
          <w14:textFill>
            <w14:solidFill>
              <w14:schemeClr w14:val="tx1"/>
            </w14:solidFill>
          </w14:textFill>
        </w:rPr>
        <w:t>B02  集成平台顶升前检查表</w:t>
      </w:r>
    </w:p>
    <w:tbl>
      <w:tblPr>
        <w:tblStyle w:val="66"/>
        <w:tblW w:w="504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3"/>
        <w:gridCol w:w="1053"/>
        <w:gridCol w:w="5524"/>
        <w:gridCol w:w="1075"/>
        <w:gridCol w:w="874"/>
        <w:gridCol w:w="8"/>
      </w:tblGrid>
      <w:tr w14:paraId="1312F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609" w:type="dxa"/>
            <w:vAlign w:val="center"/>
          </w:tcPr>
          <w:p w14:paraId="34AA91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046" w:type="dxa"/>
            <w:vAlign w:val="center"/>
          </w:tcPr>
          <w:p w14:paraId="3D42C2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检查项目</w:t>
            </w:r>
          </w:p>
        </w:tc>
        <w:tc>
          <w:tcPr>
            <w:tcW w:w="5490" w:type="dxa"/>
            <w:vAlign w:val="center"/>
          </w:tcPr>
          <w:p w14:paraId="653C07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核查内容</w:t>
            </w:r>
          </w:p>
        </w:tc>
        <w:tc>
          <w:tcPr>
            <w:tcW w:w="1068" w:type="dxa"/>
            <w:vAlign w:val="center"/>
          </w:tcPr>
          <w:p w14:paraId="7BDF6B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核查结果</w:t>
            </w:r>
          </w:p>
        </w:tc>
        <w:tc>
          <w:tcPr>
            <w:tcW w:w="877" w:type="dxa"/>
            <w:gridSpan w:val="2"/>
            <w:vAlign w:val="center"/>
          </w:tcPr>
          <w:p w14:paraId="028F65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14:paraId="1DE78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9" w:hRule="atLeast"/>
          <w:jc w:val="center"/>
        </w:trPr>
        <w:tc>
          <w:tcPr>
            <w:tcW w:w="609" w:type="dxa"/>
            <w:vAlign w:val="center"/>
          </w:tcPr>
          <w:p w14:paraId="7A7C15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1046" w:type="dxa"/>
            <w:vAlign w:val="center"/>
          </w:tcPr>
          <w:p w14:paraId="2B4D32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组织管理</w:t>
            </w:r>
          </w:p>
        </w:tc>
        <w:tc>
          <w:tcPr>
            <w:tcW w:w="5490" w:type="dxa"/>
            <w:vAlign w:val="center"/>
          </w:tcPr>
          <w:p w14:paraId="04FA19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相关操作人员已进行安全技术交底 ·交底资料齐 全。监理工程师、责任工程师、项目技术员、专职 安全人员、安拆单位项目负责人到场</w:t>
            </w:r>
          </w:p>
        </w:tc>
        <w:tc>
          <w:tcPr>
            <w:tcW w:w="1068" w:type="dxa"/>
            <w:vAlign w:val="center"/>
          </w:tcPr>
          <w:p w14:paraId="7D2E24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77" w:type="dxa"/>
            <w:gridSpan w:val="2"/>
            <w:vAlign w:val="center"/>
          </w:tcPr>
          <w:p w14:paraId="17D076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4B3A9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766BA8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1046" w:type="dxa"/>
            <w:vMerge w:val="restart"/>
            <w:tcBorders>
              <w:bottom w:val="nil"/>
            </w:tcBorders>
            <w:vAlign w:val="center"/>
          </w:tcPr>
          <w:p w14:paraId="2B9938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p w14:paraId="5B4695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建筑主</w:t>
            </w:r>
          </w:p>
          <w:p w14:paraId="23EF71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体结构</w:t>
            </w:r>
          </w:p>
        </w:tc>
        <w:tc>
          <w:tcPr>
            <w:tcW w:w="5490" w:type="dxa"/>
            <w:vAlign w:val="center"/>
          </w:tcPr>
          <w:p w14:paraId="2DF737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主体结构混凝土浇筑完成，最底层附墙支座位置 混凝土强度达到20MPa</w:t>
            </w:r>
            <w:r>
              <w:rPr>
                <w:rFonts w:hint="eastAsia" w:cs="Times New Roman"/>
                <w:sz w:val="21"/>
                <w:szCs w:val="21"/>
                <w:lang w:eastAsia="zh-CN"/>
              </w:rPr>
              <w:t>，</w:t>
            </w:r>
            <w:r>
              <w:rPr>
                <w:rFonts w:hint="default" w:ascii="Times New Roman" w:hAnsi="Times New Roman" w:eastAsia="宋体" w:cs="Times New Roman"/>
                <w:sz w:val="21"/>
                <w:szCs w:val="21"/>
              </w:rPr>
              <w:t>强度回弹记录完整</w:t>
            </w:r>
          </w:p>
        </w:tc>
        <w:tc>
          <w:tcPr>
            <w:tcW w:w="1068" w:type="dxa"/>
            <w:vAlign w:val="center"/>
          </w:tcPr>
          <w:p w14:paraId="01DFA3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375282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6266A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53683A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1046" w:type="dxa"/>
            <w:vMerge w:val="continue"/>
            <w:tcBorders>
              <w:top w:val="nil"/>
            </w:tcBorders>
            <w:vAlign w:val="center"/>
          </w:tcPr>
          <w:p w14:paraId="6A4A60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2EC1F1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建筑物内无外伸材料，对外防护架体提升无影响</w:t>
            </w:r>
          </w:p>
        </w:tc>
        <w:tc>
          <w:tcPr>
            <w:tcW w:w="1068" w:type="dxa"/>
            <w:vAlign w:val="center"/>
          </w:tcPr>
          <w:p w14:paraId="4C94E7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7CAB10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4BBC6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03CAF0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1046" w:type="dxa"/>
            <w:vMerge w:val="restart"/>
            <w:tcBorders>
              <w:bottom w:val="nil"/>
            </w:tcBorders>
            <w:vAlign w:val="center"/>
          </w:tcPr>
          <w:p w14:paraId="0C52E9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p w14:paraId="109ACA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p w14:paraId="2082ED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安全设</w:t>
            </w:r>
          </w:p>
          <w:p w14:paraId="37F3F0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备设施</w:t>
            </w:r>
          </w:p>
        </w:tc>
        <w:tc>
          <w:tcPr>
            <w:tcW w:w="5490" w:type="dxa"/>
            <w:vAlign w:val="center"/>
          </w:tcPr>
          <w:p w14:paraId="1272A4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集成平台各系统安全防护设施完善且安全可靠</w:t>
            </w:r>
          </w:p>
        </w:tc>
        <w:tc>
          <w:tcPr>
            <w:tcW w:w="1068" w:type="dxa"/>
            <w:vAlign w:val="center"/>
          </w:tcPr>
          <w:p w14:paraId="15A65D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0A0FCD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68B18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76E104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w:t>
            </w:r>
          </w:p>
        </w:tc>
        <w:tc>
          <w:tcPr>
            <w:tcW w:w="1046" w:type="dxa"/>
            <w:vMerge w:val="continue"/>
            <w:tcBorders>
              <w:top w:val="nil"/>
              <w:bottom w:val="nil"/>
            </w:tcBorders>
            <w:vAlign w:val="center"/>
          </w:tcPr>
          <w:p w14:paraId="386A39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427731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配电箱配线长度满足集成平台提升要求，线缆与 集成平台存在摩擦部位保护措施完善</w:t>
            </w:r>
          </w:p>
        </w:tc>
        <w:tc>
          <w:tcPr>
            <w:tcW w:w="1068" w:type="dxa"/>
            <w:vAlign w:val="center"/>
          </w:tcPr>
          <w:p w14:paraId="7B8D0A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41FF38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128E1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0DDFF0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w:t>
            </w:r>
          </w:p>
        </w:tc>
        <w:tc>
          <w:tcPr>
            <w:tcW w:w="1046" w:type="dxa"/>
            <w:vMerge w:val="continue"/>
            <w:tcBorders>
              <w:top w:val="nil"/>
            </w:tcBorders>
            <w:vAlign w:val="center"/>
          </w:tcPr>
          <w:p w14:paraId="02AF8A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3C1229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集成平台监测预警系统是否完善，功能正常</w:t>
            </w:r>
          </w:p>
        </w:tc>
        <w:tc>
          <w:tcPr>
            <w:tcW w:w="1068" w:type="dxa"/>
            <w:vAlign w:val="center"/>
          </w:tcPr>
          <w:p w14:paraId="36EFA2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315498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747C6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061D59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w:t>
            </w:r>
          </w:p>
        </w:tc>
        <w:tc>
          <w:tcPr>
            <w:tcW w:w="1046" w:type="dxa"/>
            <w:vMerge w:val="restart"/>
            <w:tcBorders>
              <w:bottom w:val="nil"/>
            </w:tcBorders>
            <w:vAlign w:val="center"/>
          </w:tcPr>
          <w:p w14:paraId="553100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支承系统</w:t>
            </w:r>
          </w:p>
        </w:tc>
        <w:tc>
          <w:tcPr>
            <w:tcW w:w="5490" w:type="dxa"/>
            <w:vAlign w:val="center"/>
          </w:tcPr>
          <w:p w14:paraId="7600D5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附墙支座紧固件安装情况符合设计要求</w:t>
            </w:r>
          </w:p>
        </w:tc>
        <w:tc>
          <w:tcPr>
            <w:tcW w:w="1068" w:type="dxa"/>
            <w:vAlign w:val="center"/>
          </w:tcPr>
          <w:p w14:paraId="24DFEE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254DD7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2BE2F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6F4B56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w:t>
            </w:r>
          </w:p>
        </w:tc>
        <w:tc>
          <w:tcPr>
            <w:tcW w:w="1046" w:type="dxa"/>
            <w:vMerge w:val="continue"/>
            <w:tcBorders>
              <w:top w:val="nil"/>
              <w:bottom w:val="nil"/>
            </w:tcBorders>
            <w:vAlign w:val="center"/>
          </w:tcPr>
          <w:p w14:paraId="04F885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580C38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焊缝无裂纹和</w:t>
            </w:r>
            <w:r>
              <w:rPr>
                <w:rFonts w:hint="eastAsia" w:cs="Times New Roman"/>
                <w:sz w:val="21"/>
                <w:szCs w:val="21"/>
                <w:lang w:eastAsia="zh-CN"/>
              </w:rPr>
              <w:t>其他</w:t>
            </w:r>
            <w:r>
              <w:rPr>
                <w:rFonts w:hint="default" w:ascii="Times New Roman" w:hAnsi="Times New Roman" w:eastAsia="宋体" w:cs="Times New Roman"/>
                <w:sz w:val="21"/>
                <w:szCs w:val="21"/>
              </w:rPr>
              <w:t>焊接缺陷及严重锈蚀</w:t>
            </w:r>
          </w:p>
        </w:tc>
        <w:tc>
          <w:tcPr>
            <w:tcW w:w="1068" w:type="dxa"/>
            <w:vAlign w:val="center"/>
          </w:tcPr>
          <w:p w14:paraId="0B60B6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5C26C1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046C1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2383DD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w:t>
            </w:r>
          </w:p>
        </w:tc>
        <w:tc>
          <w:tcPr>
            <w:tcW w:w="1046" w:type="dxa"/>
            <w:vMerge w:val="continue"/>
            <w:tcBorders>
              <w:top w:val="nil"/>
              <w:bottom w:val="nil"/>
            </w:tcBorders>
            <w:vAlign w:val="center"/>
          </w:tcPr>
          <w:p w14:paraId="55A3AB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6F2BCA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防坠、防倾覆功能完好</w:t>
            </w:r>
          </w:p>
        </w:tc>
        <w:tc>
          <w:tcPr>
            <w:tcW w:w="1068" w:type="dxa"/>
            <w:vAlign w:val="center"/>
          </w:tcPr>
          <w:p w14:paraId="386B20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0EB661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70AD5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56FA79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10</w:t>
            </w:r>
          </w:p>
        </w:tc>
        <w:tc>
          <w:tcPr>
            <w:tcW w:w="1046" w:type="dxa"/>
            <w:vMerge w:val="continue"/>
            <w:tcBorders>
              <w:top w:val="nil"/>
              <w:bottom w:val="nil"/>
            </w:tcBorders>
            <w:vAlign w:val="center"/>
          </w:tcPr>
          <w:p w14:paraId="1EC3AC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2F41F9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每个支点位置至少2个附墙支座可靠受力</w:t>
            </w:r>
          </w:p>
        </w:tc>
        <w:tc>
          <w:tcPr>
            <w:tcW w:w="1068" w:type="dxa"/>
            <w:vAlign w:val="center"/>
          </w:tcPr>
          <w:p w14:paraId="73D60A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30AC63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0A361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6E0912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w:t>
            </w:r>
          </w:p>
        </w:tc>
        <w:tc>
          <w:tcPr>
            <w:tcW w:w="1046" w:type="dxa"/>
            <w:vMerge w:val="continue"/>
            <w:tcBorders>
              <w:top w:val="nil"/>
            </w:tcBorders>
            <w:vAlign w:val="center"/>
          </w:tcPr>
          <w:p w14:paraId="353AF2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38F80F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附墙支座、导轨立柱内建渣清理干净</w:t>
            </w:r>
          </w:p>
        </w:tc>
        <w:tc>
          <w:tcPr>
            <w:tcW w:w="1068" w:type="dxa"/>
            <w:vAlign w:val="center"/>
          </w:tcPr>
          <w:p w14:paraId="312AE1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73BC7D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78AA1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5A237E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w:t>
            </w:r>
          </w:p>
        </w:tc>
        <w:tc>
          <w:tcPr>
            <w:tcW w:w="1046" w:type="dxa"/>
            <w:vMerge w:val="restart"/>
            <w:tcBorders>
              <w:bottom w:val="nil"/>
            </w:tcBorders>
            <w:vAlign w:val="center"/>
          </w:tcPr>
          <w:p w14:paraId="4A1303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钢平台系统</w:t>
            </w:r>
          </w:p>
        </w:tc>
        <w:tc>
          <w:tcPr>
            <w:tcW w:w="5490" w:type="dxa"/>
            <w:vAlign w:val="center"/>
          </w:tcPr>
          <w:p w14:paraId="4D87A5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钢平台顶部无材料堆载</w:t>
            </w:r>
          </w:p>
        </w:tc>
        <w:tc>
          <w:tcPr>
            <w:tcW w:w="1068" w:type="dxa"/>
            <w:vAlign w:val="center"/>
          </w:tcPr>
          <w:p w14:paraId="1D0728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147DE7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017F5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339024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13</w:t>
            </w:r>
          </w:p>
        </w:tc>
        <w:tc>
          <w:tcPr>
            <w:tcW w:w="1046" w:type="dxa"/>
            <w:vMerge w:val="continue"/>
            <w:tcBorders>
              <w:top w:val="nil"/>
              <w:bottom w:val="nil"/>
            </w:tcBorders>
            <w:vAlign w:val="center"/>
          </w:tcPr>
          <w:p w14:paraId="4112CB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72E3DE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钢平台走道板及防护无缺失</w:t>
            </w:r>
          </w:p>
        </w:tc>
        <w:tc>
          <w:tcPr>
            <w:tcW w:w="1068" w:type="dxa"/>
            <w:vAlign w:val="center"/>
          </w:tcPr>
          <w:p w14:paraId="69BE27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5347AA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2758D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0253C1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14</w:t>
            </w:r>
          </w:p>
        </w:tc>
        <w:tc>
          <w:tcPr>
            <w:tcW w:w="1046" w:type="dxa"/>
            <w:vMerge w:val="continue"/>
            <w:tcBorders>
              <w:top w:val="nil"/>
              <w:bottom w:val="nil"/>
            </w:tcBorders>
            <w:vAlign w:val="center"/>
          </w:tcPr>
          <w:p w14:paraId="0C5073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3DE820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钢平台物料堆场</w:t>
            </w:r>
            <w:r>
              <w:rPr>
                <w:rFonts w:hint="eastAsia" w:cs="Times New Roman"/>
                <w:sz w:val="21"/>
                <w:szCs w:val="21"/>
                <w:lang w:eastAsia="zh-CN"/>
              </w:rPr>
              <w:t>（</w:t>
            </w:r>
            <w:r>
              <w:rPr>
                <w:rFonts w:hint="default" w:ascii="Times New Roman" w:hAnsi="Times New Roman" w:eastAsia="宋体" w:cs="Times New Roman"/>
                <w:sz w:val="21"/>
                <w:szCs w:val="21"/>
              </w:rPr>
              <w:t>若有</w:t>
            </w:r>
            <w:r>
              <w:rPr>
                <w:rFonts w:hint="eastAsia" w:cs="Times New Roman"/>
                <w:sz w:val="21"/>
                <w:szCs w:val="21"/>
                <w:lang w:eastAsia="zh-CN"/>
              </w:rPr>
              <w:t>）</w:t>
            </w:r>
            <w:r>
              <w:rPr>
                <w:rFonts w:hint="default" w:ascii="Times New Roman" w:hAnsi="Times New Roman" w:eastAsia="宋体" w:cs="Times New Roman"/>
                <w:sz w:val="21"/>
                <w:szCs w:val="21"/>
              </w:rPr>
              <w:t>是否设置限载标识标牌清 晰且无缺失</w:t>
            </w:r>
          </w:p>
        </w:tc>
        <w:tc>
          <w:tcPr>
            <w:tcW w:w="1068" w:type="dxa"/>
            <w:vAlign w:val="center"/>
          </w:tcPr>
          <w:p w14:paraId="32B2FA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107CB8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1A323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40E819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15</w:t>
            </w:r>
          </w:p>
        </w:tc>
        <w:tc>
          <w:tcPr>
            <w:tcW w:w="1046" w:type="dxa"/>
            <w:vMerge w:val="restart"/>
            <w:tcBorders>
              <w:bottom w:val="nil"/>
            </w:tcBorders>
            <w:vAlign w:val="center"/>
          </w:tcPr>
          <w:p w14:paraId="78C99C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挂架系统</w:t>
            </w:r>
          </w:p>
        </w:tc>
        <w:tc>
          <w:tcPr>
            <w:tcW w:w="5490" w:type="dxa"/>
            <w:vAlign w:val="center"/>
          </w:tcPr>
          <w:p w14:paraId="550249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外防护挂架与主体结构间距为200mm～400mm</w:t>
            </w:r>
          </w:p>
        </w:tc>
        <w:tc>
          <w:tcPr>
            <w:tcW w:w="1068" w:type="dxa"/>
            <w:vAlign w:val="center"/>
          </w:tcPr>
          <w:p w14:paraId="6D3873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708391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4E8AA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167F46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16</w:t>
            </w:r>
          </w:p>
        </w:tc>
        <w:tc>
          <w:tcPr>
            <w:tcW w:w="1046" w:type="dxa"/>
            <w:vMerge w:val="continue"/>
            <w:tcBorders>
              <w:top w:val="nil"/>
              <w:bottom w:val="nil"/>
            </w:tcBorders>
            <w:vAlign w:val="center"/>
          </w:tcPr>
          <w:p w14:paraId="71995E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6E8D8F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构件无明显变形、锈蚀、裂纹等</w:t>
            </w:r>
          </w:p>
        </w:tc>
        <w:tc>
          <w:tcPr>
            <w:tcW w:w="1068" w:type="dxa"/>
            <w:vAlign w:val="center"/>
          </w:tcPr>
          <w:p w14:paraId="3A8638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0E4282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38FE7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5526BE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17</w:t>
            </w:r>
          </w:p>
        </w:tc>
        <w:tc>
          <w:tcPr>
            <w:tcW w:w="1046" w:type="dxa"/>
            <w:vMerge w:val="continue"/>
            <w:tcBorders>
              <w:top w:val="nil"/>
              <w:bottom w:val="nil"/>
            </w:tcBorders>
            <w:vAlign w:val="center"/>
          </w:tcPr>
          <w:p w14:paraId="6CCD27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08E981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外防护挂架与外附式施工电梯、塔吊附着撑杆臂 交接位置</w:t>
            </w:r>
            <w:r>
              <w:rPr>
                <w:rFonts w:hint="eastAsia" w:cs="Times New Roman"/>
                <w:sz w:val="21"/>
                <w:szCs w:val="21"/>
                <w:lang w:eastAsia="zh-CN"/>
              </w:rPr>
              <w:t>（</w:t>
            </w:r>
            <w:r>
              <w:rPr>
                <w:rFonts w:hint="default" w:ascii="Times New Roman" w:hAnsi="Times New Roman" w:eastAsia="宋体" w:cs="Times New Roman"/>
                <w:sz w:val="21"/>
                <w:szCs w:val="21"/>
              </w:rPr>
              <w:t>若有</w:t>
            </w:r>
            <w:r>
              <w:rPr>
                <w:rFonts w:hint="eastAsia" w:cs="Times New Roman"/>
                <w:sz w:val="21"/>
                <w:szCs w:val="21"/>
                <w:lang w:eastAsia="zh-CN"/>
              </w:rPr>
              <w:t>）</w:t>
            </w:r>
            <w:r>
              <w:rPr>
                <w:rFonts w:hint="default" w:ascii="Times New Roman" w:hAnsi="Times New Roman" w:eastAsia="宋体" w:cs="Times New Roman"/>
                <w:sz w:val="21"/>
                <w:szCs w:val="21"/>
              </w:rPr>
              <w:t>防护措施完整可靠</w:t>
            </w:r>
          </w:p>
        </w:tc>
        <w:tc>
          <w:tcPr>
            <w:tcW w:w="1068" w:type="dxa"/>
            <w:vAlign w:val="center"/>
          </w:tcPr>
          <w:p w14:paraId="14B83D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60DE59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2B813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48776F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18</w:t>
            </w:r>
          </w:p>
        </w:tc>
        <w:tc>
          <w:tcPr>
            <w:tcW w:w="1046" w:type="dxa"/>
            <w:vMerge w:val="continue"/>
            <w:tcBorders>
              <w:top w:val="nil"/>
              <w:bottom w:val="nil"/>
            </w:tcBorders>
            <w:vAlign w:val="center"/>
          </w:tcPr>
          <w:p w14:paraId="1738DE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1C6CED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外防护挂架内无材料堆载，外防护挂架内建渣已 清理干净</w:t>
            </w:r>
          </w:p>
        </w:tc>
        <w:tc>
          <w:tcPr>
            <w:tcW w:w="1068" w:type="dxa"/>
            <w:vAlign w:val="center"/>
          </w:tcPr>
          <w:p w14:paraId="702CE3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752F61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5F340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2C9CD9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19</w:t>
            </w:r>
          </w:p>
        </w:tc>
        <w:tc>
          <w:tcPr>
            <w:tcW w:w="1046" w:type="dxa"/>
            <w:vMerge w:val="continue"/>
            <w:tcBorders>
              <w:top w:val="nil"/>
            </w:tcBorders>
            <w:vAlign w:val="center"/>
          </w:tcPr>
          <w:p w14:paraId="367ECF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490" w:type="dxa"/>
            <w:vAlign w:val="center"/>
          </w:tcPr>
          <w:p w14:paraId="0F7649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主体结构无妨碍挂架向上提升的障碍物，翻板全 数翻起且可靠固定</w:t>
            </w:r>
          </w:p>
        </w:tc>
        <w:tc>
          <w:tcPr>
            <w:tcW w:w="1068" w:type="dxa"/>
            <w:vAlign w:val="center"/>
          </w:tcPr>
          <w:p w14:paraId="6C9567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435A57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092FF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609" w:type="dxa"/>
            <w:vAlign w:val="center"/>
          </w:tcPr>
          <w:p w14:paraId="386025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21</w:t>
            </w:r>
          </w:p>
        </w:tc>
        <w:tc>
          <w:tcPr>
            <w:tcW w:w="1046" w:type="dxa"/>
            <w:vAlign w:val="center"/>
          </w:tcPr>
          <w:p w14:paraId="6A214F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拓展集成</w:t>
            </w:r>
          </w:p>
          <w:p w14:paraId="0E063D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设施设备</w:t>
            </w:r>
          </w:p>
          <w:p w14:paraId="715B46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eastAsia" w:cs="Times New Roman"/>
                <w:sz w:val="21"/>
                <w:szCs w:val="21"/>
                <w:lang w:eastAsia="zh-CN"/>
              </w:rPr>
              <w:t>（</w:t>
            </w:r>
            <w:r>
              <w:rPr>
                <w:rFonts w:hint="default" w:ascii="Times New Roman" w:hAnsi="Times New Roman" w:eastAsia="宋体" w:cs="Times New Roman"/>
                <w:sz w:val="21"/>
                <w:szCs w:val="21"/>
              </w:rPr>
              <w:t>若有</w:t>
            </w:r>
            <w:r>
              <w:rPr>
                <w:rFonts w:hint="eastAsia" w:cs="Times New Roman"/>
                <w:sz w:val="21"/>
                <w:szCs w:val="21"/>
                <w:lang w:eastAsia="zh-CN"/>
              </w:rPr>
              <w:t>）</w:t>
            </w:r>
          </w:p>
        </w:tc>
        <w:tc>
          <w:tcPr>
            <w:tcW w:w="5490" w:type="dxa"/>
            <w:vAlign w:val="center"/>
          </w:tcPr>
          <w:p w14:paraId="52B23C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符合设计要求</w:t>
            </w:r>
          </w:p>
        </w:tc>
        <w:tc>
          <w:tcPr>
            <w:tcW w:w="1068" w:type="dxa"/>
            <w:vAlign w:val="center"/>
          </w:tcPr>
          <w:p w14:paraId="553E01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69" w:type="dxa"/>
            <w:vAlign w:val="center"/>
          </w:tcPr>
          <w:p w14:paraId="5E8B5B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29205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1655" w:type="dxa"/>
            <w:gridSpan w:val="2"/>
            <w:vAlign w:val="center"/>
          </w:tcPr>
          <w:p w14:paraId="08C8DF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检查结论</w:t>
            </w:r>
          </w:p>
        </w:tc>
        <w:tc>
          <w:tcPr>
            <w:tcW w:w="7427" w:type="dxa"/>
            <w:gridSpan w:val="3"/>
            <w:vAlign w:val="center"/>
          </w:tcPr>
          <w:p w14:paraId="215FE6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1F703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54" w:hRule="atLeast"/>
          <w:jc w:val="center"/>
        </w:trPr>
        <w:tc>
          <w:tcPr>
            <w:tcW w:w="9082" w:type="dxa"/>
            <w:gridSpan w:val="5"/>
            <w:vAlign w:val="center"/>
          </w:tcPr>
          <w:p w14:paraId="024B23F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符合要求，同意顶升操作□</w:t>
            </w:r>
          </w:p>
          <w:p w14:paraId="46A4FAD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不符合要求，整改后重新组织验收□</w:t>
            </w:r>
          </w:p>
          <w:p w14:paraId="11DD54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年   月    日</w:t>
            </w:r>
          </w:p>
        </w:tc>
      </w:tr>
    </w:tbl>
    <w:p w14:paraId="083F406B">
      <w:pPr>
        <w:spacing w:before="156" w:beforeLines="50" w:after="156" w:afterLines="50" w:line="240" w:lineRule="auto"/>
        <w:jc w:val="center"/>
        <w:rPr>
          <w:rFonts w:hint="eastAsia" w:ascii="Arial" w:hAnsi="Arial" w:eastAsia="黑体" w:cs="Arial"/>
          <w:b/>
          <w:bCs/>
          <w:color w:val="000000" w:themeColor="text1"/>
          <w:sz w:val="20"/>
          <w:szCs w:val="20"/>
          <w:lang w:val="en-US" w:eastAsia="zh-CN"/>
          <w14:textFill>
            <w14:solidFill>
              <w14:schemeClr w14:val="tx1"/>
            </w14:solidFill>
          </w14:textFill>
        </w:rPr>
      </w:pPr>
      <w:r>
        <w:rPr>
          <w:rFonts w:hint="eastAsia" w:ascii="Arial" w:hAnsi="Arial" w:eastAsia="黑体" w:cs="Arial"/>
          <w:b/>
          <w:bCs/>
          <w:color w:val="000000" w:themeColor="text1"/>
          <w:sz w:val="20"/>
          <w:szCs w:val="20"/>
          <w:lang w:val="en-US" w:eastAsia="zh-CN"/>
          <w14:textFill>
            <w14:solidFill>
              <w14:schemeClr w14:val="tx1"/>
            </w14:solidFill>
          </w14:textFill>
        </w:rPr>
        <w:t>B03  集成平台顶升后检查表</w:t>
      </w:r>
    </w:p>
    <w:tbl>
      <w:tblPr>
        <w:tblStyle w:val="66"/>
        <w:tblW w:w="505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7"/>
        <w:gridCol w:w="3"/>
        <w:gridCol w:w="1084"/>
        <w:gridCol w:w="5"/>
        <w:gridCol w:w="5508"/>
        <w:gridCol w:w="1065"/>
        <w:gridCol w:w="872"/>
        <w:gridCol w:w="16"/>
      </w:tblGrid>
      <w:tr w14:paraId="6840E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469" w:hRule="atLeast"/>
          <w:jc w:val="center"/>
        </w:trPr>
        <w:tc>
          <w:tcPr>
            <w:tcW w:w="607" w:type="dxa"/>
            <w:tcBorders>
              <w:tl2br w:val="nil"/>
              <w:tr2bl w:val="nil"/>
            </w:tcBorders>
            <w:vAlign w:val="center"/>
          </w:tcPr>
          <w:p w14:paraId="1F2C34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088" w:type="dxa"/>
            <w:gridSpan w:val="2"/>
            <w:tcBorders>
              <w:tl2br w:val="nil"/>
              <w:tr2bl w:val="nil"/>
            </w:tcBorders>
            <w:vAlign w:val="center"/>
          </w:tcPr>
          <w:p w14:paraId="280740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检查项目</w:t>
            </w:r>
          </w:p>
        </w:tc>
        <w:tc>
          <w:tcPr>
            <w:tcW w:w="5521" w:type="dxa"/>
            <w:gridSpan w:val="2"/>
            <w:tcBorders>
              <w:tl2br w:val="nil"/>
              <w:tr2bl w:val="nil"/>
            </w:tcBorders>
            <w:vAlign w:val="center"/>
          </w:tcPr>
          <w:p w14:paraId="66AA89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核查内容</w:t>
            </w:r>
          </w:p>
        </w:tc>
        <w:tc>
          <w:tcPr>
            <w:tcW w:w="1066" w:type="dxa"/>
            <w:tcBorders>
              <w:tl2br w:val="nil"/>
              <w:tr2bl w:val="nil"/>
            </w:tcBorders>
            <w:vAlign w:val="center"/>
          </w:tcPr>
          <w:p w14:paraId="443237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核查结果</w:t>
            </w:r>
          </w:p>
        </w:tc>
        <w:tc>
          <w:tcPr>
            <w:tcW w:w="873" w:type="dxa"/>
            <w:tcBorders>
              <w:tl2br w:val="nil"/>
              <w:tr2bl w:val="nil"/>
            </w:tcBorders>
            <w:vAlign w:val="center"/>
          </w:tcPr>
          <w:p w14:paraId="040CD9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14:paraId="32C80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709" w:hRule="atLeast"/>
          <w:jc w:val="center"/>
        </w:trPr>
        <w:tc>
          <w:tcPr>
            <w:tcW w:w="607" w:type="dxa"/>
            <w:tcBorders>
              <w:tl2br w:val="nil"/>
              <w:tr2bl w:val="nil"/>
            </w:tcBorders>
            <w:vAlign w:val="center"/>
          </w:tcPr>
          <w:p w14:paraId="2E4EB4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1088" w:type="dxa"/>
            <w:gridSpan w:val="2"/>
            <w:tcBorders>
              <w:tl2br w:val="nil"/>
              <w:tr2bl w:val="nil"/>
            </w:tcBorders>
            <w:vAlign w:val="center"/>
          </w:tcPr>
          <w:p w14:paraId="140F2D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组织管理</w:t>
            </w:r>
          </w:p>
        </w:tc>
        <w:tc>
          <w:tcPr>
            <w:tcW w:w="5521" w:type="dxa"/>
            <w:gridSpan w:val="2"/>
            <w:tcBorders>
              <w:tl2br w:val="nil"/>
              <w:tr2bl w:val="nil"/>
            </w:tcBorders>
            <w:vAlign w:val="center"/>
          </w:tcPr>
          <w:p w14:paraId="2161CA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监理工程师、责任工程师、项目技术员、专职安全 人员、安拆单位项目负责人到场</w:t>
            </w:r>
          </w:p>
        </w:tc>
        <w:tc>
          <w:tcPr>
            <w:tcW w:w="1066" w:type="dxa"/>
            <w:tcBorders>
              <w:tl2br w:val="nil"/>
              <w:tr2bl w:val="nil"/>
            </w:tcBorders>
            <w:vAlign w:val="center"/>
          </w:tcPr>
          <w:p w14:paraId="190070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73" w:type="dxa"/>
            <w:tcBorders>
              <w:tl2br w:val="nil"/>
              <w:tr2bl w:val="nil"/>
            </w:tcBorders>
            <w:vAlign w:val="center"/>
          </w:tcPr>
          <w:p w14:paraId="3DA642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690AB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480" w:hRule="atLeast"/>
          <w:jc w:val="center"/>
        </w:trPr>
        <w:tc>
          <w:tcPr>
            <w:tcW w:w="607" w:type="dxa"/>
            <w:tcBorders>
              <w:tl2br w:val="nil"/>
              <w:tr2bl w:val="nil"/>
            </w:tcBorders>
            <w:vAlign w:val="center"/>
          </w:tcPr>
          <w:p w14:paraId="3D0087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1088" w:type="dxa"/>
            <w:gridSpan w:val="2"/>
            <w:vMerge w:val="restart"/>
            <w:tcBorders>
              <w:tl2br w:val="nil"/>
              <w:tr2bl w:val="nil"/>
            </w:tcBorders>
            <w:vAlign w:val="center"/>
          </w:tcPr>
          <w:p w14:paraId="249007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安全设</w:t>
            </w:r>
          </w:p>
          <w:p w14:paraId="1DECA2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备设施</w:t>
            </w:r>
          </w:p>
        </w:tc>
        <w:tc>
          <w:tcPr>
            <w:tcW w:w="5521" w:type="dxa"/>
            <w:gridSpan w:val="2"/>
            <w:tcBorders>
              <w:tl2br w:val="nil"/>
              <w:tr2bl w:val="nil"/>
            </w:tcBorders>
            <w:vAlign w:val="center"/>
          </w:tcPr>
          <w:p w14:paraId="47673EF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集成平台各系统安全防护设施恢复且安全可靠</w:t>
            </w:r>
          </w:p>
        </w:tc>
        <w:tc>
          <w:tcPr>
            <w:tcW w:w="1066" w:type="dxa"/>
            <w:tcBorders>
              <w:tl2br w:val="nil"/>
              <w:tr2bl w:val="nil"/>
            </w:tcBorders>
            <w:vAlign w:val="center"/>
          </w:tcPr>
          <w:p w14:paraId="6AF650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73" w:type="dxa"/>
            <w:tcBorders>
              <w:tl2br w:val="nil"/>
              <w:tr2bl w:val="nil"/>
            </w:tcBorders>
            <w:vAlign w:val="center"/>
          </w:tcPr>
          <w:p w14:paraId="5B3F95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15967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769" w:hRule="atLeast"/>
          <w:jc w:val="center"/>
        </w:trPr>
        <w:tc>
          <w:tcPr>
            <w:tcW w:w="607" w:type="dxa"/>
            <w:tcBorders>
              <w:tl2br w:val="nil"/>
              <w:tr2bl w:val="nil"/>
            </w:tcBorders>
            <w:vAlign w:val="center"/>
          </w:tcPr>
          <w:p w14:paraId="5F668D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1088" w:type="dxa"/>
            <w:gridSpan w:val="2"/>
            <w:vMerge w:val="continue"/>
            <w:tcBorders>
              <w:tl2br w:val="nil"/>
              <w:tr2bl w:val="nil"/>
            </w:tcBorders>
            <w:vAlign w:val="center"/>
          </w:tcPr>
          <w:p w14:paraId="006DA0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5521" w:type="dxa"/>
            <w:gridSpan w:val="2"/>
            <w:tcBorders>
              <w:tl2br w:val="nil"/>
              <w:tr2bl w:val="nil"/>
            </w:tcBorders>
            <w:vAlign w:val="center"/>
          </w:tcPr>
          <w:p w14:paraId="4BF0D7F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配电箱配线长度满足使用要求，线缆与集成平台 存在摩擦部位保护措施完善</w:t>
            </w:r>
          </w:p>
        </w:tc>
        <w:tc>
          <w:tcPr>
            <w:tcW w:w="1066" w:type="dxa"/>
            <w:tcBorders>
              <w:tl2br w:val="nil"/>
              <w:tr2bl w:val="nil"/>
            </w:tcBorders>
            <w:vAlign w:val="center"/>
          </w:tcPr>
          <w:p w14:paraId="03C290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73" w:type="dxa"/>
            <w:tcBorders>
              <w:tl2br w:val="nil"/>
              <w:tr2bl w:val="nil"/>
            </w:tcBorders>
            <w:vAlign w:val="center"/>
          </w:tcPr>
          <w:p w14:paraId="5B7520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14:paraId="2BD68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7508ADB6">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w:t>
            </w:r>
          </w:p>
        </w:tc>
        <w:tc>
          <w:tcPr>
            <w:tcW w:w="1090" w:type="dxa"/>
            <w:gridSpan w:val="2"/>
            <w:vMerge w:val="restart"/>
            <w:tcBorders>
              <w:tl2br w:val="nil"/>
              <w:tr2bl w:val="nil"/>
            </w:tcBorders>
            <w:vAlign w:val="center"/>
          </w:tcPr>
          <w:p w14:paraId="799CF3A3">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安全设</w:t>
            </w:r>
          </w:p>
          <w:p w14:paraId="756C24C4">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备设施</w:t>
            </w:r>
          </w:p>
        </w:tc>
        <w:tc>
          <w:tcPr>
            <w:tcW w:w="5516" w:type="dxa"/>
            <w:tcBorders>
              <w:tl2br w:val="nil"/>
              <w:tr2bl w:val="nil"/>
            </w:tcBorders>
            <w:vAlign w:val="center"/>
          </w:tcPr>
          <w:p w14:paraId="6F73BDBD">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集成平台监测预警系统是否完善，功能正常</w:t>
            </w:r>
          </w:p>
        </w:tc>
        <w:tc>
          <w:tcPr>
            <w:tcW w:w="1066" w:type="dxa"/>
            <w:tcBorders>
              <w:tl2br w:val="nil"/>
              <w:tr2bl w:val="nil"/>
            </w:tcBorders>
            <w:vAlign w:val="center"/>
          </w:tcPr>
          <w:p w14:paraId="4701FA14">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3E193005">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0EC56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666715D3">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w:t>
            </w:r>
          </w:p>
        </w:tc>
        <w:tc>
          <w:tcPr>
            <w:tcW w:w="1090" w:type="dxa"/>
            <w:gridSpan w:val="2"/>
            <w:vMerge w:val="continue"/>
            <w:tcBorders>
              <w:tl2br w:val="nil"/>
              <w:tr2bl w:val="nil"/>
            </w:tcBorders>
            <w:vAlign w:val="center"/>
          </w:tcPr>
          <w:p w14:paraId="261DFB32">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5516" w:type="dxa"/>
            <w:tcBorders>
              <w:tl2br w:val="nil"/>
              <w:tr2bl w:val="nil"/>
            </w:tcBorders>
            <w:shd w:val="clear" w:color="auto" w:fill="auto"/>
            <w:vAlign w:val="center"/>
          </w:tcPr>
          <w:p w14:paraId="6928F688">
            <w:pPr>
              <w:pStyle w:val="68"/>
              <w:keepNext w:val="0"/>
              <w:keepLines w:val="0"/>
              <w:pageBreakBefore w:val="0"/>
              <w:widowControl w:val="0"/>
              <w:kinsoku/>
              <w:wordWrap/>
              <w:overflowPunct/>
              <w:topLinePunct w:val="0"/>
              <w:autoSpaceDE/>
              <w:autoSpaceDN/>
              <w:bidi w:val="0"/>
              <w:adjustRightInd/>
              <w:snapToGrid/>
              <w:spacing w:before="133" w:line="240" w:lineRule="auto"/>
              <w:ind w:left="61" w:leftChars="0" w:firstLine="0"/>
              <w:jc w:val="left"/>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z w:val="21"/>
                <w:szCs w:val="21"/>
              </w:rPr>
              <w:t>防雷装置功能正常，防雷接地可靠</w:t>
            </w:r>
          </w:p>
        </w:tc>
        <w:tc>
          <w:tcPr>
            <w:tcW w:w="1066" w:type="dxa"/>
            <w:tcBorders>
              <w:tl2br w:val="nil"/>
              <w:tr2bl w:val="nil"/>
            </w:tcBorders>
            <w:vAlign w:val="center"/>
          </w:tcPr>
          <w:p w14:paraId="6293F6EE">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09CF305F">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3922D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287E6583">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w:t>
            </w:r>
          </w:p>
        </w:tc>
        <w:tc>
          <w:tcPr>
            <w:tcW w:w="1090" w:type="dxa"/>
            <w:gridSpan w:val="2"/>
            <w:vMerge w:val="continue"/>
            <w:tcBorders>
              <w:tl2br w:val="nil"/>
              <w:tr2bl w:val="nil"/>
            </w:tcBorders>
            <w:vAlign w:val="center"/>
          </w:tcPr>
          <w:p w14:paraId="2761F560">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5516" w:type="dxa"/>
            <w:tcBorders>
              <w:tl2br w:val="nil"/>
              <w:tr2bl w:val="nil"/>
            </w:tcBorders>
            <w:shd w:val="clear" w:color="auto" w:fill="auto"/>
            <w:vAlign w:val="center"/>
          </w:tcPr>
          <w:p w14:paraId="23331243">
            <w:pPr>
              <w:pStyle w:val="68"/>
              <w:keepNext w:val="0"/>
              <w:keepLines w:val="0"/>
              <w:pageBreakBefore w:val="0"/>
              <w:widowControl w:val="0"/>
              <w:kinsoku/>
              <w:wordWrap/>
              <w:overflowPunct/>
              <w:topLinePunct w:val="0"/>
              <w:autoSpaceDE/>
              <w:autoSpaceDN/>
              <w:bidi w:val="0"/>
              <w:adjustRightInd/>
              <w:snapToGrid/>
              <w:spacing w:before="122" w:line="240" w:lineRule="auto"/>
              <w:ind w:left="61" w:leftChars="0" w:firstLine="0"/>
              <w:jc w:val="left"/>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1"/>
                <w:sz w:val="21"/>
                <w:szCs w:val="21"/>
              </w:rPr>
              <w:t>集成平台顶升控制柜断电，控制室锁门</w:t>
            </w:r>
          </w:p>
        </w:tc>
        <w:tc>
          <w:tcPr>
            <w:tcW w:w="1066" w:type="dxa"/>
            <w:tcBorders>
              <w:tl2br w:val="nil"/>
              <w:tr2bl w:val="nil"/>
            </w:tcBorders>
            <w:vAlign w:val="center"/>
          </w:tcPr>
          <w:p w14:paraId="16797D28">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6452A53D">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109BA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01EEFDF3">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w:t>
            </w:r>
          </w:p>
        </w:tc>
        <w:tc>
          <w:tcPr>
            <w:tcW w:w="1090" w:type="dxa"/>
            <w:gridSpan w:val="2"/>
            <w:vMerge w:val="restart"/>
            <w:tcBorders>
              <w:tl2br w:val="nil"/>
              <w:tr2bl w:val="nil"/>
            </w:tcBorders>
            <w:vAlign w:val="center"/>
          </w:tcPr>
          <w:p w14:paraId="062539CE">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支承系统</w:t>
            </w:r>
          </w:p>
        </w:tc>
        <w:tc>
          <w:tcPr>
            <w:tcW w:w="5516" w:type="dxa"/>
            <w:tcBorders>
              <w:tl2br w:val="nil"/>
              <w:tr2bl w:val="nil"/>
            </w:tcBorders>
            <w:shd w:val="clear" w:color="auto" w:fill="auto"/>
            <w:vAlign w:val="center"/>
          </w:tcPr>
          <w:p w14:paraId="253D2289">
            <w:pPr>
              <w:pStyle w:val="68"/>
              <w:keepNext w:val="0"/>
              <w:keepLines w:val="0"/>
              <w:pageBreakBefore w:val="0"/>
              <w:widowControl w:val="0"/>
              <w:kinsoku/>
              <w:wordWrap/>
              <w:overflowPunct/>
              <w:topLinePunct w:val="0"/>
              <w:autoSpaceDE/>
              <w:autoSpaceDN/>
              <w:bidi w:val="0"/>
              <w:adjustRightInd/>
              <w:snapToGrid/>
              <w:spacing w:before="122" w:line="240" w:lineRule="auto"/>
              <w:ind w:left="61" w:leftChars="0" w:firstLine="0"/>
              <w:jc w:val="left"/>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z w:val="21"/>
                <w:szCs w:val="21"/>
              </w:rPr>
              <w:t>附墙支座紧固件安装符合设计要求</w:t>
            </w:r>
          </w:p>
        </w:tc>
        <w:tc>
          <w:tcPr>
            <w:tcW w:w="1066" w:type="dxa"/>
            <w:tcBorders>
              <w:tl2br w:val="nil"/>
              <w:tr2bl w:val="nil"/>
            </w:tcBorders>
            <w:vAlign w:val="center"/>
          </w:tcPr>
          <w:p w14:paraId="27B4E904">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775AA02E">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2FAAE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67BAAEF6">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w:t>
            </w:r>
          </w:p>
        </w:tc>
        <w:tc>
          <w:tcPr>
            <w:tcW w:w="1090" w:type="dxa"/>
            <w:gridSpan w:val="2"/>
            <w:vMerge w:val="continue"/>
            <w:tcBorders>
              <w:tl2br w:val="nil"/>
              <w:tr2bl w:val="nil"/>
            </w:tcBorders>
            <w:vAlign w:val="center"/>
          </w:tcPr>
          <w:p w14:paraId="71E8E6CC">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5516" w:type="dxa"/>
            <w:tcBorders>
              <w:tl2br w:val="nil"/>
              <w:tr2bl w:val="nil"/>
            </w:tcBorders>
            <w:shd w:val="clear" w:color="auto" w:fill="auto"/>
            <w:vAlign w:val="center"/>
          </w:tcPr>
          <w:p w14:paraId="4AC30E82">
            <w:pPr>
              <w:pStyle w:val="68"/>
              <w:keepNext w:val="0"/>
              <w:keepLines w:val="0"/>
              <w:pageBreakBefore w:val="0"/>
              <w:widowControl w:val="0"/>
              <w:kinsoku/>
              <w:wordWrap/>
              <w:overflowPunct/>
              <w:topLinePunct w:val="0"/>
              <w:autoSpaceDE/>
              <w:autoSpaceDN/>
              <w:bidi w:val="0"/>
              <w:adjustRightInd/>
              <w:snapToGrid/>
              <w:spacing w:before="108" w:line="240" w:lineRule="auto"/>
              <w:ind w:left="61" w:leftChars="0" w:right="420" w:rightChars="0" w:firstLine="0" w:firstLineChars="0"/>
              <w:jc w:val="left"/>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3"/>
                <w:sz w:val="21"/>
                <w:szCs w:val="21"/>
              </w:rPr>
              <w:t>导轨立柱整体垂直度偏差≤5%</w:t>
            </w:r>
            <w:r>
              <w:rPr>
                <w:rFonts w:hint="eastAsia" w:ascii="Times New Roman" w:hAnsi="Times New Roman" w:cs="Times New Roman"/>
                <w:spacing w:val="3"/>
                <w:sz w:val="21"/>
                <w:szCs w:val="21"/>
                <w:lang w:eastAsia="zh-CN"/>
              </w:rPr>
              <w:t>，</w:t>
            </w:r>
            <w:r>
              <w:rPr>
                <w:rFonts w:hint="default" w:ascii="Times New Roman" w:hAnsi="Times New Roman" w:eastAsia="宋体" w:cs="Times New Roman"/>
                <w:spacing w:val="3"/>
                <w:sz w:val="21"/>
                <w:szCs w:val="21"/>
              </w:rPr>
              <w:t>且小于30</w:t>
            </w:r>
            <w:r>
              <w:rPr>
                <w:rFonts w:hint="default" w:ascii="Times New Roman" w:hAnsi="Times New Roman" w:eastAsia="宋体" w:cs="Times New Roman"/>
                <w:sz w:val="21"/>
                <w:szCs w:val="21"/>
              </w:rPr>
              <w:t>mm</w:t>
            </w:r>
            <w:r>
              <w:rPr>
                <w:rFonts w:hint="default" w:ascii="Times New Roman" w:hAnsi="Times New Roman" w:eastAsia="宋体" w:cs="Times New Roman"/>
                <w:spacing w:val="3"/>
                <w:sz w:val="21"/>
                <w:szCs w:val="21"/>
              </w:rPr>
              <w:t>,</w:t>
            </w:r>
            <w:r>
              <w:rPr>
                <w:rFonts w:hint="default" w:ascii="Times New Roman" w:hAnsi="Times New Roman" w:eastAsia="宋体" w:cs="Times New Roman"/>
                <w:spacing w:val="7"/>
                <w:sz w:val="21"/>
                <w:szCs w:val="21"/>
              </w:rPr>
              <w:t xml:space="preserve"> </w:t>
            </w:r>
            <w:r>
              <w:rPr>
                <w:rFonts w:hint="default" w:ascii="Times New Roman" w:hAnsi="Times New Roman" w:eastAsia="宋体" w:cs="Times New Roman"/>
                <w:sz w:val="21"/>
                <w:szCs w:val="21"/>
              </w:rPr>
              <w:t>导向、防坠、防倾覆功能完好</w:t>
            </w:r>
          </w:p>
        </w:tc>
        <w:tc>
          <w:tcPr>
            <w:tcW w:w="1066" w:type="dxa"/>
            <w:tcBorders>
              <w:tl2br w:val="nil"/>
              <w:tr2bl w:val="nil"/>
            </w:tcBorders>
            <w:vAlign w:val="center"/>
          </w:tcPr>
          <w:p w14:paraId="3EB398ED">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45E00604">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3A4DB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5968E2BD">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9</w:t>
            </w:r>
          </w:p>
        </w:tc>
        <w:tc>
          <w:tcPr>
            <w:tcW w:w="1090" w:type="dxa"/>
            <w:gridSpan w:val="2"/>
            <w:vMerge w:val="continue"/>
            <w:tcBorders>
              <w:tl2br w:val="nil"/>
              <w:tr2bl w:val="nil"/>
            </w:tcBorders>
            <w:vAlign w:val="center"/>
          </w:tcPr>
          <w:p w14:paraId="2B8465E0">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5516" w:type="dxa"/>
            <w:tcBorders>
              <w:tl2br w:val="nil"/>
              <w:tr2bl w:val="nil"/>
            </w:tcBorders>
            <w:shd w:val="clear" w:color="auto" w:fill="auto"/>
            <w:vAlign w:val="center"/>
          </w:tcPr>
          <w:p w14:paraId="56F6E832">
            <w:pPr>
              <w:pStyle w:val="68"/>
              <w:keepNext w:val="0"/>
              <w:keepLines w:val="0"/>
              <w:pageBreakBefore w:val="0"/>
              <w:widowControl w:val="0"/>
              <w:kinsoku/>
              <w:wordWrap/>
              <w:overflowPunct/>
              <w:topLinePunct w:val="0"/>
              <w:autoSpaceDE/>
              <w:autoSpaceDN/>
              <w:bidi w:val="0"/>
              <w:adjustRightInd/>
              <w:snapToGrid/>
              <w:spacing w:before="123" w:line="240" w:lineRule="auto"/>
              <w:ind w:left="61" w:leftChars="0" w:firstLine="0"/>
              <w:jc w:val="left"/>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z w:val="21"/>
                <w:szCs w:val="21"/>
              </w:rPr>
              <w:t>每个支点位置至少2个附墙支座可靠受力</w:t>
            </w:r>
          </w:p>
        </w:tc>
        <w:tc>
          <w:tcPr>
            <w:tcW w:w="1066" w:type="dxa"/>
            <w:tcBorders>
              <w:tl2br w:val="nil"/>
              <w:tr2bl w:val="nil"/>
            </w:tcBorders>
            <w:vAlign w:val="center"/>
          </w:tcPr>
          <w:p w14:paraId="246F93A6">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45291333">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7F949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737369DC">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10</w:t>
            </w:r>
          </w:p>
        </w:tc>
        <w:tc>
          <w:tcPr>
            <w:tcW w:w="1090" w:type="dxa"/>
            <w:gridSpan w:val="2"/>
            <w:vMerge w:val="continue"/>
            <w:tcBorders>
              <w:tl2br w:val="nil"/>
              <w:tr2bl w:val="nil"/>
            </w:tcBorders>
            <w:vAlign w:val="center"/>
          </w:tcPr>
          <w:p w14:paraId="43A21D95">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5516" w:type="dxa"/>
            <w:tcBorders>
              <w:tl2br w:val="nil"/>
              <w:tr2bl w:val="nil"/>
            </w:tcBorders>
            <w:shd w:val="clear" w:color="auto" w:fill="auto"/>
            <w:vAlign w:val="center"/>
          </w:tcPr>
          <w:p w14:paraId="0D2D87DB">
            <w:pPr>
              <w:pStyle w:val="68"/>
              <w:keepNext w:val="0"/>
              <w:keepLines w:val="0"/>
              <w:pageBreakBefore w:val="0"/>
              <w:widowControl w:val="0"/>
              <w:kinsoku/>
              <w:wordWrap/>
              <w:overflowPunct/>
              <w:topLinePunct w:val="0"/>
              <w:autoSpaceDE/>
              <w:autoSpaceDN/>
              <w:bidi w:val="0"/>
              <w:adjustRightInd/>
              <w:snapToGrid/>
              <w:spacing w:before="123" w:line="240" w:lineRule="auto"/>
              <w:ind w:left="61" w:leftChars="0" w:firstLine="0"/>
              <w:jc w:val="left"/>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z w:val="21"/>
                <w:szCs w:val="21"/>
              </w:rPr>
              <w:t>附墙支座钩爪与导轨立柱、</w:t>
            </w:r>
            <w:r>
              <w:rPr>
                <w:rFonts w:hint="default" w:ascii="Times New Roman" w:hAnsi="Times New Roman" w:eastAsia="宋体" w:cs="Times New Roman"/>
                <w:sz w:val="21"/>
                <w:szCs w:val="21"/>
                <w:lang w:val="en-US" w:eastAsia="zh-CN"/>
              </w:rPr>
              <w:t>承力转换机构</w:t>
            </w:r>
            <w:r>
              <w:rPr>
                <w:rFonts w:hint="default" w:ascii="Times New Roman" w:hAnsi="Times New Roman" w:eastAsia="宋体" w:cs="Times New Roman"/>
                <w:sz w:val="21"/>
                <w:szCs w:val="21"/>
              </w:rPr>
              <w:t>可靠咬合</w:t>
            </w:r>
          </w:p>
        </w:tc>
        <w:tc>
          <w:tcPr>
            <w:tcW w:w="1066" w:type="dxa"/>
            <w:tcBorders>
              <w:tl2br w:val="nil"/>
              <w:tr2bl w:val="nil"/>
            </w:tcBorders>
            <w:vAlign w:val="center"/>
          </w:tcPr>
          <w:p w14:paraId="2540EC3D">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73359FDD">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7E5D7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595C8B96">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11</w:t>
            </w:r>
          </w:p>
        </w:tc>
        <w:tc>
          <w:tcPr>
            <w:tcW w:w="1090" w:type="dxa"/>
            <w:gridSpan w:val="2"/>
            <w:vMerge w:val="continue"/>
            <w:tcBorders>
              <w:tl2br w:val="nil"/>
              <w:tr2bl w:val="nil"/>
            </w:tcBorders>
            <w:vAlign w:val="center"/>
          </w:tcPr>
          <w:p w14:paraId="532D3E4B">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5516" w:type="dxa"/>
            <w:tcBorders>
              <w:tl2br w:val="nil"/>
              <w:tr2bl w:val="nil"/>
            </w:tcBorders>
            <w:shd w:val="clear" w:color="auto" w:fill="auto"/>
            <w:vAlign w:val="center"/>
          </w:tcPr>
          <w:p w14:paraId="4D964AF8">
            <w:pPr>
              <w:pStyle w:val="68"/>
              <w:keepNext w:val="0"/>
              <w:keepLines w:val="0"/>
              <w:pageBreakBefore w:val="0"/>
              <w:widowControl w:val="0"/>
              <w:kinsoku/>
              <w:wordWrap/>
              <w:overflowPunct/>
              <w:topLinePunct w:val="0"/>
              <w:autoSpaceDE/>
              <w:autoSpaceDN/>
              <w:bidi w:val="0"/>
              <w:adjustRightInd/>
              <w:snapToGrid/>
              <w:spacing w:before="124" w:line="240" w:lineRule="auto"/>
              <w:ind w:left="61" w:leftChars="0" w:firstLine="0"/>
              <w:jc w:val="left"/>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z w:val="21"/>
                <w:szCs w:val="21"/>
              </w:rPr>
              <w:t>支承架的轴线位置、标高、垂直度</w:t>
            </w:r>
          </w:p>
        </w:tc>
        <w:tc>
          <w:tcPr>
            <w:tcW w:w="1066" w:type="dxa"/>
            <w:tcBorders>
              <w:tl2br w:val="nil"/>
              <w:tr2bl w:val="nil"/>
            </w:tcBorders>
            <w:vAlign w:val="center"/>
          </w:tcPr>
          <w:p w14:paraId="1F2542B2">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15C86CFA">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1996A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0D5C05D9">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w:t>
            </w:r>
          </w:p>
        </w:tc>
        <w:tc>
          <w:tcPr>
            <w:tcW w:w="1090" w:type="dxa"/>
            <w:gridSpan w:val="2"/>
            <w:vMerge w:val="restart"/>
            <w:tcBorders>
              <w:tl2br w:val="nil"/>
              <w:tr2bl w:val="nil"/>
            </w:tcBorders>
            <w:vAlign w:val="center"/>
          </w:tcPr>
          <w:p w14:paraId="2DB523F7">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钢平台</w:t>
            </w:r>
          </w:p>
          <w:p w14:paraId="033A0F1D">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系统</w:t>
            </w:r>
          </w:p>
        </w:tc>
        <w:tc>
          <w:tcPr>
            <w:tcW w:w="5516" w:type="dxa"/>
            <w:tcBorders>
              <w:tl2br w:val="nil"/>
              <w:tr2bl w:val="nil"/>
            </w:tcBorders>
            <w:shd w:val="clear" w:color="auto" w:fill="auto"/>
            <w:vAlign w:val="center"/>
          </w:tcPr>
          <w:p w14:paraId="7FFE4802">
            <w:pPr>
              <w:pStyle w:val="68"/>
              <w:spacing w:before="125" w:line="219" w:lineRule="auto"/>
              <w:ind w:left="61" w:leftChars="0"/>
              <w:jc w:val="left"/>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1"/>
                <w:sz w:val="21"/>
                <w:szCs w:val="21"/>
              </w:rPr>
              <w:t>钢平台走道板及防护无缺失</w:t>
            </w:r>
          </w:p>
        </w:tc>
        <w:tc>
          <w:tcPr>
            <w:tcW w:w="1066" w:type="dxa"/>
            <w:tcBorders>
              <w:tl2br w:val="nil"/>
              <w:tr2bl w:val="nil"/>
            </w:tcBorders>
            <w:vAlign w:val="center"/>
          </w:tcPr>
          <w:p w14:paraId="68BEE761">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1FB68036">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50F45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79BD7921">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13</w:t>
            </w:r>
          </w:p>
        </w:tc>
        <w:tc>
          <w:tcPr>
            <w:tcW w:w="1090" w:type="dxa"/>
            <w:gridSpan w:val="2"/>
            <w:vMerge w:val="continue"/>
            <w:tcBorders>
              <w:tl2br w:val="nil"/>
              <w:tr2bl w:val="nil"/>
            </w:tcBorders>
            <w:vAlign w:val="center"/>
          </w:tcPr>
          <w:p w14:paraId="1288429A">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5516" w:type="dxa"/>
            <w:tcBorders>
              <w:tl2br w:val="nil"/>
              <w:tr2bl w:val="nil"/>
            </w:tcBorders>
            <w:shd w:val="clear" w:color="auto" w:fill="auto"/>
            <w:vAlign w:val="center"/>
          </w:tcPr>
          <w:p w14:paraId="6F112517">
            <w:pPr>
              <w:pStyle w:val="68"/>
              <w:spacing w:before="126" w:line="219" w:lineRule="auto"/>
              <w:ind w:left="61" w:leftChars="0"/>
              <w:jc w:val="left"/>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1"/>
                <w:sz w:val="21"/>
                <w:szCs w:val="21"/>
              </w:rPr>
              <w:t>钢平台位移偏差满足设计要求</w:t>
            </w:r>
          </w:p>
        </w:tc>
        <w:tc>
          <w:tcPr>
            <w:tcW w:w="1066" w:type="dxa"/>
            <w:tcBorders>
              <w:tl2br w:val="nil"/>
              <w:tr2bl w:val="nil"/>
            </w:tcBorders>
            <w:vAlign w:val="center"/>
          </w:tcPr>
          <w:p w14:paraId="382C2DCB">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4517E7AA">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44305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7109D333">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14</w:t>
            </w:r>
          </w:p>
        </w:tc>
        <w:tc>
          <w:tcPr>
            <w:tcW w:w="1090" w:type="dxa"/>
            <w:gridSpan w:val="2"/>
            <w:vMerge w:val="continue"/>
            <w:tcBorders>
              <w:tl2br w:val="nil"/>
              <w:tr2bl w:val="nil"/>
            </w:tcBorders>
            <w:vAlign w:val="center"/>
          </w:tcPr>
          <w:p w14:paraId="112E66A8">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5516" w:type="dxa"/>
            <w:tcBorders>
              <w:tl2br w:val="nil"/>
              <w:tr2bl w:val="nil"/>
            </w:tcBorders>
            <w:shd w:val="clear" w:color="auto" w:fill="auto"/>
            <w:vAlign w:val="center"/>
          </w:tcPr>
          <w:p w14:paraId="005956EC">
            <w:pPr>
              <w:pStyle w:val="68"/>
              <w:spacing w:before="126" w:line="219" w:lineRule="auto"/>
              <w:ind w:left="61" w:leftChars="0"/>
              <w:jc w:val="left"/>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1"/>
                <w:sz w:val="21"/>
                <w:szCs w:val="21"/>
              </w:rPr>
              <w:t>钢平台整体水平度、垂直度</w:t>
            </w:r>
          </w:p>
        </w:tc>
        <w:tc>
          <w:tcPr>
            <w:tcW w:w="1066" w:type="dxa"/>
            <w:tcBorders>
              <w:tl2br w:val="nil"/>
              <w:tr2bl w:val="nil"/>
            </w:tcBorders>
            <w:vAlign w:val="center"/>
          </w:tcPr>
          <w:p w14:paraId="49FBFF83">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29810338">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64434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0AE89842">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w:t>
            </w:r>
          </w:p>
        </w:tc>
        <w:tc>
          <w:tcPr>
            <w:tcW w:w="1090" w:type="dxa"/>
            <w:gridSpan w:val="2"/>
            <w:vMerge w:val="restart"/>
            <w:tcBorders>
              <w:tl2br w:val="nil"/>
              <w:tr2bl w:val="nil"/>
            </w:tcBorders>
            <w:vAlign w:val="center"/>
          </w:tcPr>
          <w:p w14:paraId="2CAE8BEA">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挂架系统</w:t>
            </w:r>
          </w:p>
        </w:tc>
        <w:tc>
          <w:tcPr>
            <w:tcW w:w="5516" w:type="dxa"/>
            <w:tcBorders>
              <w:tl2br w:val="nil"/>
              <w:tr2bl w:val="nil"/>
            </w:tcBorders>
            <w:shd w:val="clear" w:color="auto" w:fill="auto"/>
            <w:vAlign w:val="center"/>
          </w:tcPr>
          <w:p w14:paraId="0594FE2C">
            <w:pPr>
              <w:pStyle w:val="68"/>
              <w:spacing w:before="128" w:line="220" w:lineRule="auto"/>
              <w:ind w:left="61" w:leftChars="0"/>
              <w:jc w:val="left"/>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1"/>
                <w:sz w:val="21"/>
                <w:szCs w:val="21"/>
              </w:rPr>
              <w:t>外防护挂架与主体结构间距为200mm～400mm</w:t>
            </w:r>
          </w:p>
        </w:tc>
        <w:tc>
          <w:tcPr>
            <w:tcW w:w="1066" w:type="dxa"/>
            <w:tcBorders>
              <w:tl2br w:val="nil"/>
              <w:tr2bl w:val="nil"/>
            </w:tcBorders>
            <w:vAlign w:val="center"/>
          </w:tcPr>
          <w:p w14:paraId="225B2223">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1523A571">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75980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3380983C">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16</w:t>
            </w:r>
          </w:p>
        </w:tc>
        <w:tc>
          <w:tcPr>
            <w:tcW w:w="1090" w:type="dxa"/>
            <w:gridSpan w:val="2"/>
            <w:vMerge w:val="continue"/>
            <w:tcBorders>
              <w:tl2br w:val="nil"/>
              <w:tr2bl w:val="nil"/>
            </w:tcBorders>
            <w:vAlign w:val="center"/>
          </w:tcPr>
          <w:p w14:paraId="5368C128">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5516" w:type="dxa"/>
            <w:tcBorders>
              <w:tl2br w:val="nil"/>
              <w:tr2bl w:val="nil"/>
            </w:tcBorders>
            <w:shd w:val="clear" w:color="auto" w:fill="auto"/>
            <w:vAlign w:val="center"/>
          </w:tcPr>
          <w:p w14:paraId="39DE8D8C">
            <w:pPr>
              <w:pStyle w:val="68"/>
              <w:spacing w:before="138" w:line="261" w:lineRule="auto"/>
              <w:ind w:left="61" w:leftChars="0" w:right="21" w:rightChars="0" w:firstLine="30" w:firstLineChars="0"/>
              <w:jc w:val="left"/>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z w:val="21"/>
                <w:szCs w:val="21"/>
              </w:rPr>
              <w:t>外防护挂架底层及施工作业层下层密闭防护翻板</w:t>
            </w:r>
            <w:r>
              <w:rPr>
                <w:rFonts w:hint="default" w:ascii="Times New Roman" w:hAnsi="Times New Roman" w:eastAsia="宋体" w:cs="Times New Roman"/>
                <w:spacing w:val="9"/>
                <w:sz w:val="21"/>
                <w:szCs w:val="21"/>
              </w:rPr>
              <w:t xml:space="preserve"> </w:t>
            </w:r>
            <w:r>
              <w:rPr>
                <w:rFonts w:hint="default" w:ascii="Times New Roman" w:hAnsi="Times New Roman" w:eastAsia="宋体" w:cs="Times New Roman"/>
                <w:spacing w:val="13"/>
                <w:sz w:val="21"/>
                <w:szCs w:val="21"/>
              </w:rPr>
              <w:t>已恢复，斜靠主体结构倾角为45°~60°</w:t>
            </w:r>
          </w:p>
        </w:tc>
        <w:tc>
          <w:tcPr>
            <w:tcW w:w="1066" w:type="dxa"/>
            <w:tcBorders>
              <w:tl2br w:val="nil"/>
              <w:tr2bl w:val="nil"/>
            </w:tcBorders>
            <w:vAlign w:val="center"/>
          </w:tcPr>
          <w:p w14:paraId="3FF4D64E">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307D5DE0">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731FD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122922E3">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17</w:t>
            </w:r>
          </w:p>
        </w:tc>
        <w:tc>
          <w:tcPr>
            <w:tcW w:w="1090" w:type="dxa"/>
            <w:gridSpan w:val="2"/>
            <w:vMerge w:val="continue"/>
            <w:tcBorders>
              <w:tl2br w:val="nil"/>
              <w:tr2bl w:val="nil"/>
            </w:tcBorders>
            <w:vAlign w:val="center"/>
          </w:tcPr>
          <w:p w14:paraId="210ECA41">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5516" w:type="dxa"/>
            <w:tcBorders>
              <w:tl2br w:val="nil"/>
              <w:tr2bl w:val="nil"/>
            </w:tcBorders>
            <w:shd w:val="clear" w:color="auto" w:fill="auto"/>
            <w:vAlign w:val="center"/>
          </w:tcPr>
          <w:p w14:paraId="43BEFA30">
            <w:pPr>
              <w:pStyle w:val="68"/>
              <w:spacing w:before="129" w:line="219" w:lineRule="auto"/>
              <w:ind w:left="61" w:leftChars="0"/>
              <w:jc w:val="left"/>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z w:val="21"/>
                <w:szCs w:val="21"/>
              </w:rPr>
              <w:t>构件无明显变形、锈蚀、裂纹等</w:t>
            </w:r>
          </w:p>
        </w:tc>
        <w:tc>
          <w:tcPr>
            <w:tcW w:w="1066" w:type="dxa"/>
            <w:tcBorders>
              <w:tl2br w:val="nil"/>
              <w:tr2bl w:val="nil"/>
            </w:tcBorders>
            <w:vAlign w:val="center"/>
          </w:tcPr>
          <w:p w14:paraId="0A55E711">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170F7816">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77ABC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0A87B50E">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18</w:t>
            </w:r>
          </w:p>
        </w:tc>
        <w:tc>
          <w:tcPr>
            <w:tcW w:w="1090" w:type="dxa"/>
            <w:gridSpan w:val="2"/>
            <w:vMerge w:val="continue"/>
            <w:tcBorders>
              <w:tl2br w:val="nil"/>
              <w:tr2bl w:val="nil"/>
            </w:tcBorders>
            <w:vAlign w:val="center"/>
          </w:tcPr>
          <w:p w14:paraId="40B4AECA">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5516" w:type="dxa"/>
            <w:tcBorders>
              <w:tl2br w:val="nil"/>
              <w:tr2bl w:val="nil"/>
            </w:tcBorders>
            <w:shd w:val="clear" w:color="auto" w:fill="auto"/>
            <w:vAlign w:val="center"/>
          </w:tcPr>
          <w:p w14:paraId="5CCD20C1">
            <w:pPr>
              <w:pStyle w:val="68"/>
              <w:spacing w:before="88" w:line="247" w:lineRule="auto"/>
              <w:ind w:left="61" w:leftChars="0" w:right="13" w:rightChars="0" w:firstLine="40" w:firstLineChars="0"/>
              <w:jc w:val="left"/>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z w:val="21"/>
                <w:szCs w:val="21"/>
              </w:rPr>
              <w:t>外防护挂架与外附式施工电梯、塔吊附臂交接位</w:t>
            </w:r>
            <w:r>
              <w:rPr>
                <w:rFonts w:hint="default" w:ascii="Times New Roman" w:hAnsi="Times New Roman" w:eastAsia="宋体" w:cs="Times New Roman"/>
                <w:spacing w:val="7"/>
                <w:sz w:val="21"/>
                <w:szCs w:val="21"/>
              </w:rPr>
              <w:t xml:space="preserve"> </w:t>
            </w:r>
            <w:r>
              <w:rPr>
                <w:rFonts w:hint="default" w:ascii="Times New Roman" w:hAnsi="Times New Roman" w:eastAsia="宋体" w:cs="Times New Roman"/>
                <w:spacing w:val="-1"/>
                <w:sz w:val="21"/>
                <w:szCs w:val="21"/>
              </w:rPr>
              <w:t>置</w:t>
            </w:r>
            <w:r>
              <w:rPr>
                <w:rFonts w:hint="eastAsia" w:ascii="Times New Roman" w:hAnsi="Times New Roman" w:cs="Times New Roman"/>
                <w:spacing w:val="-1"/>
                <w:sz w:val="21"/>
                <w:szCs w:val="21"/>
                <w:lang w:eastAsia="zh-CN"/>
              </w:rPr>
              <w:t>（</w:t>
            </w:r>
            <w:r>
              <w:rPr>
                <w:rFonts w:hint="default" w:ascii="Times New Roman" w:hAnsi="Times New Roman" w:eastAsia="宋体" w:cs="Times New Roman"/>
                <w:spacing w:val="-1"/>
                <w:sz w:val="21"/>
                <w:szCs w:val="21"/>
              </w:rPr>
              <w:t>若有</w:t>
            </w:r>
            <w:r>
              <w:rPr>
                <w:rFonts w:hint="eastAsia" w:ascii="Times New Roman" w:hAnsi="Times New Roman" w:cs="Times New Roman"/>
                <w:spacing w:val="-1"/>
                <w:sz w:val="21"/>
                <w:szCs w:val="21"/>
                <w:lang w:eastAsia="zh-CN"/>
              </w:rPr>
              <w:t>）</w:t>
            </w:r>
            <w:r>
              <w:rPr>
                <w:rFonts w:hint="default" w:ascii="Times New Roman" w:hAnsi="Times New Roman" w:eastAsia="宋体" w:cs="Times New Roman"/>
                <w:spacing w:val="-1"/>
                <w:sz w:val="21"/>
                <w:szCs w:val="21"/>
              </w:rPr>
              <w:t>防护措施完整可靠</w:t>
            </w:r>
          </w:p>
        </w:tc>
        <w:tc>
          <w:tcPr>
            <w:tcW w:w="1066" w:type="dxa"/>
            <w:tcBorders>
              <w:tl2br w:val="nil"/>
              <w:tr2bl w:val="nil"/>
            </w:tcBorders>
            <w:vAlign w:val="center"/>
          </w:tcPr>
          <w:p w14:paraId="2933B489">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539946DE">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64E01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10" w:type="dxa"/>
            <w:gridSpan w:val="2"/>
            <w:tcBorders>
              <w:tl2br w:val="nil"/>
              <w:tr2bl w:val="nil"/>
            </w:tcBorders>
            <w:vAlign w:val="center"/>
          </w:tcPr>
          <w:p w14:paraId="0A6E8B6C">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19</w:t>
            </w:r>
          </w:p>
        </w:tc>
        <w:tc>
          <w:tcPr>
            <w:tcW w:w="1090" w:type="dxa"/>
            <w:gridSpan w:val="2"/>
            <w:tcBorders>
              <w:tl2br w:val="nil"/>
              <w:tr2bl w:val="nil"/>
            </w:tcBorders>
            <w:shd w:val="clear" w:color="auto" w:fill="auto"/>
            <w:vAlign w:val="center"/>
          </w:tcPr>
          <w:p w14:paraId="0ED6D8B6">
            <w:pPr>
              <w:pStyle w:val="68"/>
              <w:spacing w:before="290" w:line="220" w:lineRule="auto"/>
              <w:ind w:left="31" w:leftChars="0"/>
              <w:jc w:val="center"/>
              <w:rPr>
                <w:rFonts w:hint="default" w:ascii="Times New Roman" w:hAnsi="Times New Roman" w:eastAsia="宋体" w:cs="Times New Roman"/>
                <w:kern w:val="2"/>
                <w:sz w:val="21"/>
                <w:szCs w:val="21"/>
                <w:lang w:val="en-US" w:eastAsia="en-US" w:bidi="ar-SA"/>
              </w:rPr>
            </w:pPr>
            <w:r>
              <w:rPr>
                <w:rFonts w:hint="eastAsia" w:ascii="Times New Roman" w:hAnsi="Times New Roman" w:cs="Times New Roman"/>
                <w:spacing w:val="2"/>
                <w:sz w:val="21"/>
                <w:szCs w:val="21"/>
                <w:lang w:val="en-US" w:eastAsia="zh-CN"/>
              </w:rPr>
              <w:t>动力</w:t>
            </w:r>
            <w:r>
              <w:rPr>
                <w:rFonts w:hint="default" w:ascii="Times New Roman" w:hAnsi="Times New Roman" w:eastAsia="宋体" w:cs="Times New Roman"/>
                <w:spacing w:val="2"/>
                <w:sz w:val="21"/>
                <w:szCs w:val="21"/>
              </w:rPr>
              <w:t>系统</w:t>
            </w:r>
          </w:p>
        </w:tc>
        <w:tc>
          <w:tcPr>
            <w:tcW w:w="5516" w:type="dxa"/>
            <w:tcBorders>
              <w:tl2br w:val="nil"/>
              <w:tr2bl w:val="nil"/>
            </w:tcBorders>
            <w:shd w:val="clear" w:color="auto" w:fill="auto"/>
            <w:vAlign w:val="center"/>
          </w:tcPr>
          <w:p w14:paraId="15C3AFF2">
            <w:pPr>
              <w:pStyle w:val="68"/>
              <w:spacing w:before="129" w:line="271" w:lineRule="auto"/>
              <w:ind w:right="1" w:rightChars="0"/>
              <w:jc w:val="left"/>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1"/>
                <w:sz w:val="21"/>
                <w:szCs w:val="21"/>
              </w:rPr>
              <w:t>液压系统电线、油管布置有效附着，管路畅通，液</w:t>
            </w:r>
            <w:r>
              <w:rPr>
                <w:rFonts w:hint="default" w:ascii="Times New Roman" w:hAnsi="Times New Roman" w:eastAsia="宋体" w:cs="Times New Roman"/>
                <w:spacing w:val="-2"/>
                <w:sz w:val="21"/>
                <w:szCs w:val="21"/>
              </w:rPr>
              <w:t>压管线无缠绕情况</w:t>
            </w:r>
          </w:p>
        </w:tc>
        <w:tc>
          <w:tcPr>
            <w:tcW w:w="1066" w:type="dxa"/>
            <w:tcBorders>
              <w:tl2br w:val="nil"/>
              <w:tr2bl w:val="nil"/>
            </w:tcBorders>
            <w:vAlign w:val="center"/>
          </w:tcPr>
          <w:p w14:paraId="7081066F">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22B0611D">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001E7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jc w:val="center"/>
        </w:trPr>
        <w:tc>
          <w:tcPr>
            <w:tcW w:w="610" w:type="dxa"/>
            <w:gridSpan w:val="2"/>
            <w:tcBorders>
              <w:tl2br w:val="nil"/>
              <w:tr2bl w:val="nil"/>
            </w:tcBorders>
            <w:vAlign w:val="center"/>
          </w:tcPr>
          <w:p w14:paraId="338F9FE5">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20</w:t>
            </w:r>
          </w:p>
        </w:tc>
        <w:tc>
          <w:tcPr>
            <w:tcW w:w="1090" w:type="dxa"/>
            <w:gridSpan w:val="2"/>
            <w:tcBorders>
              <w:tl2br w:val="nil"/>
              <w:tr2bl w:val="nil"/>
            </w:tcBorders>
            <w:shd w:val="clear" w:color="auto" w:fill="auto"/>
            <w:vAlign w:val="center"/>
          </w:tcPr>
          <w:p w14:paraId="305A96AE">
            <w:pPr>
              <w:pStyle w:val="68"/>
              <w:spacing w:before="152" w:line="219" w:lineRule="auto"/>
              <w:ind w:left="31"/>
              <w:jc w:val="center"/>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拓展集成</w:t>
            </w:r>
          </w:p>
          <w:p w14:paraId="6016C591">
            <w:pPr>
              <w:pStyle w:val="68"/>
              <w:spacing w:before="80" w:line="221" w:lineRule="auto"/>
              <w:ind w:left="31"/>
              <w:jc w:val="center"/>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设施设备</w:t>
            </w:r>
          </w:p>
          <w:p w14:paraId="2A773B5D">
            <w:pPr>
              <w:pStyle w:val="68"/>
              <w:spacing w:before="76" w:line="220" w:lineRule="auto"/>
              <w:ind w:left="140" w:leftChars="0"/>
              <w:jc w:val="center"/>
              <w:rPr>
                <w:rFonts w:hint="default" w:ascii="Times New Roman" w:hAnsi="Times New Roman" w:eastAsia="宋体" w:cs="Times New Roman"/>
                <w:kern w:val="2"/>
                <w:sz w:val="21"/>
                <w:szCs w:val="21"/>
                <w:lang w:val="en-US" w:eastAsia="en-US" w:bidi="ar-SA"/>
              </w:rPr>
            </w:pPr>
            <w:r>
              <w:rPr>
                <w:rFonts w:hint="eastAsia" w:ascii="Times New Roman" w:hAnsi="Times New Roman" w:cs="Times New Roman"/>
                <w:spacing w:val="12"/>
                <w:sz w:val="21"/>
                <w:szCs w:val="21"/>
                <w:lang w:eastAsia="zh-CN"/>
              </w:rPr>
              <w:t>（</w:t>
            </w:r>
            <w:r>
              <w:rPr>
                <w:rFonts w:hint="default" w:ascii="Times New Roman" w:hAnsi="Times New Roman" w:eastAsia="宋体" w:cs="Times New Roman"/>
                <w:spacing w:val="12"/>
                <w:sz w:val="21"/>
                <w:szCs w:val="21"/>
              </w:rPr>
              <w:t>若有</w:t>
            </w:r>
            <w:r>
              <w:rPr>
                <w:rFonts w:hint="eastAsia" w:ascii="Times New Roman" w:hAnsi="Times New Roman" w:cs="Times New Roman"/>
                <w:spacing w:val="12"/>
                <w:sz w:val="21"/>
                <w:szCs w:val="21"/>
                <w:lang w:eastAsia="zh-CN"/>
              </w:rPr>
              <w:t>）</w:t>
            </w:r>
          </w:p>
        </w:tc>
        <w:tc>
          <w:tcPr>
            <w:tcW w:w="5516" w:type="dxa"/>
            <w:tcBorders>
              <w:tl2br w:val="nil"/>
              <w:tr2bl w:val="nil"/>
            </w:tcBorders>
            <w:shd w:val="clear" w:color="auto" w:fill="auto"/>
            <w:vAlign w:val="center"/>
          </w:tcPr>
          <w:p w14:paraId="4AECDA96">
            <w:pPr>
              <w:pStyle w:val="68"/>
              <w:spacing w:before="71" w:line="219" w:lineRule="auto"/>
              <w:ind w:left="81" w:leftChars="0"/>
              <w:jc w:val="left"/>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1"/>
                <w:sz w:val="21"/>
                <w:szCs w:val="21"/>
              </w:rPr>
              <w:t>符合设计要求</w:t>
            </w:r>
          </w:p>
        </w:tc>
        <w:tc>
          <w:tcPr>
            <w:tcW w:w="1066" w:type="dxa"/>
            <w:tcBorders>
              <w:tl2br w:val="nil"/>
              <w:tr2bl w:val="nil"/>
            </w:tcBorders>
            <w:vAlign w:val="center"/>
          </w:tcPr>
          <w:p w14:paraId="7293BB0C">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c>
          <w:tcPr>
            <w:tcW w:w="889" w:type="dxa"/>
            <w:gridSpan w:val="2"/>
            <w:tcBorders>
              <w:tl2br w:val="nil"/>
              <w:tr2bl w:val="nil"/>
            </w:tcBorders>
            <w:vAlign w:val="center"/>
          </w:tcPr>
          <w:p w14:paraId="7BDAEAD5">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2B538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jc w:val="center"/>
        </w:trPr>
        <w:tc>
          <w:tcPr>
            <w:tcW w:w="1700" w:type="dxa"/>
            <w:gridSpan w:val="4"/>
            <w:tcBorders>
              <w:tl2br w:val="nil"/>
              <w:tr2bl w:val="nil"/>
            </w:tcBorders>
            <w:vAlign w:val="center"/>
          </w:tcPr>
          <w:p w14:paraId="3866DEBC">
            <w:pPr>
              <w:pStyle w:val="68"/>
              <w:spacing w:before="76" w:line="220" w:lineRule="auto"/>
              <w:ind w:left="140" w:leftChars="0"/>
              <w:jc w:val="center"/>
              <w:rPr>
                <w:rFonts w:hint="default" w:ascii="Times New Roman" w:hAnsi="Times New Roman" w:eastAsia="宋体" w:cs="Times New Roman"/>
                <w:spacing w:val="12"/>
                <w:sz w:val="21"/>
                <w:szCs w:val="21"/>
              </w:rPr>
            </w:pPr>
            <w:r>
              <w:rPr>
                <w:rFonts w:hint="default" w:ascii="Times New Roman" w:hAnsi="Times New Roman" w:eastAsia="宋体" w:cs="Times New Roman"/>
                <w:sz w:val="21"/>
                <w:szCs w:val="21"/>
              </w:rPr>
              <w:t>检查结论</w:t>
            </w:r>
          </w:p>
        </w:tc>
        <w:tc>
          <w:tcPr>
            <w:tcW w:w="7471" w:type="dxa"/>
            <w:gridSpan w:val="4"/>
            <w:tcBorders>
              <w:tl2br w:val="nil"/>
              <w:tr2bl w:val="nil"/>
            </w:tcBorders>
            <w:shd w:val="clear" w:color="auto" w:fill="auto"/>
            <w:vAlign w:val="center"/>
          </w:tcPr>
          <w:p w14:paraId="4A0279F6">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sz w:val="21"/>
                <w:szCs w:val="21"/>
              </w:rPr>
            </w:pPr>
          </w:p>
        </w:tc>
      </w:tr>
      <w:tr w14:paraId="4A348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jc w:val="center"/>
        </w:trPr>
        <w:tc>
          <w:tcPr>
            <w:tcW w:w="9171" w:type="dxa"/>
            <w:gridSpan w:val="8"/>
            <w:tcBorders>
              <w:tl2br w:val="nil"/>
              <w:tr2bl w:val="nil"/>
            </w:tcBorders>
            <w:vAlign w:val="center"/>
          </w:tcPr>
          <w:p w14:paraId="1D1E1819">
            <w:pPr>
              <w:bidi w:val="0"/>
              <w:ind w:firstLine="420" w:firstLineChars="20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符合要求，集成平台顶升作业完成□ </w:t>
            </w:r>
          </w:p>
          <w:p w14:paraId="1F755A6D">
            <w:pPr>
              <w:bidi w:val="0"/>
              <w:ind w:firstLine="420" w:firstLineChars="20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不符合要求，整改后重新组织验收□</w:t>
            </w:r>
          </w:p>
          <w:p w14:paraId="7C000886">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 xml:space="preserve">年   </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月     日</w:t>
            </w:r>
          </w:p>
        </w:tc>
      </w:tr>
      <w:bookmarkEnd w:id="67"/>
      <w:bookmarkEnd w:id="68"/>
      <w:bookmarkEnd w:id="69"/>
      <w:bookmarkEnd w:id="70"/>
      <w:bookmarkEnd w:id="71"/>
      <w:bookmarkEnd w:id="72"/>
      <w:bookmarkEnd w:id="73"/>
    </w:tbl>
    <w:p w14:paraId="15ED951B">
      <w:pPr>
        <w:ind w:left="0" w:leftChars="0" w:firstLine="0" w:firstLineChars="0"/>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0F7EA92C">
      <w:pPr>
        <w:ind w:left="0" w:leftChars="0" w:firstLine="0" w:firstLineChars="0"/>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51B7FB3D">
      <w:pPr>
        <w:ind w:left="0" w:leftChars="0" w:firstLine="0" w:firstLineChars="0"/>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4C9FFD54">
      <w:pPr>
        <w:ind w:left="0" w:leftChars="0" w:firstLine="0" w:firstLineChars="0"/>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31B801B2">
      <w:pPr>
        <w:ind w:left="0" w:leftChars="0" w:firstLine="0" w:firstLineChars="0"/>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773BCCBE">
      <w:pPr>
        <w:ind w:left="0" w:leftChars="0" w:firstLine="0" w:firstLineChars="0"/>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07B6B758">
      <w:pPr>
        <w:ind w:left="0" w:leftChars="0" w:firstLine="0" w:firstLineChars="0"/>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244ECBF5">
      <w:pPr>
        <w:ind w:left="0" w:leftChars="0" w:firstLine="0" w:firstLineChars="0"/>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2B60E340">
      <w:pPr>
        <w:ind w:left="0" w:leftChars="0" w:firstLine="0" w:firstLineChars="0"/>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0A856F9B">
      <w:pPr>
        <w:ind w:left="0" w:leftChars="0" w:firstLine="0" w:firstLineChars="0"/>
        <w:jc w:val="center"/>
        <w:rPr>
          <w:rFonts w:hint="eastAsia" w:ascii="Times New Roman" w:hAnsi="Times New Roman" w:eastAsia="宋体" w:cs="Times New Roman"/>
          <w:b/>
          <w:bCs/>
          <w:color w:val="000000" w:themeColor="text1"/>
          <w:sz w:val="32"/>
          <w:szCs w:val="32"/>
          <w14:textFill>
            <w14:solidFill>
              <w14:schemeClr w14:val="tx1"/>
            </w14:solidFill>
          </w14:textFill>
        </w:rPr>
      </w:pPr>
    </w:p>
    <w:p w14:paraId="1CAA16BD">
      <w:pPr>
        <w:ind w:left="0" w:leftChars="0" w:firstLine="0" w:firstLineChars="0"/>
        <w:jc w:val="both"/>
        <w:rPr>
          <w:rFonts w:hint="eastAsia" w:ascii="Times New Roman" w:hAnsi="Times New Roman" w:eastAsia="宋体" w:cs="Times New Roman"/>
          <w:b/>
          <w:bCs/>
          <w:color w:val="000000" w:themeColor="text1"/>
          <w:sz w:val="32"/>
          <w:szCs w:val="32"/>
          <w14:textFill>
            <w14:solidFill>
              <w14:schemeClr w14:val="tx1"/>
            </w14:solidFill>
          </w14:textFill>
        </w:rPr>
      </w:pPr>
    </w:p>
    <w:p w14:paraId="06B54CAA">
      <w:pPr>
        <w:ind w:left="0" w:leftChars="0" w:firstLine="0" w:firstLineChars="0"/>
        <w:jc w:val="center"/>
        <w:rPr>
          <w:rFonts w:hint="default" w:eastAsia="宋体"/>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sz w:val="32"/>
          <w:szCs w:val="32"/>
          <w14:textFill>
            <w14:solidFill>
              <w14:schemeClr w14:val="tx1"/>
            </w14:solidFill>
          </w14:textFill>
        </w:rPr>
        <w:t>录</w:t>
      </w:r>
      <w:r>
        <w:rPr>
          <w:rFonts w:hint="eastAsia" w:ascii="Times New Roman" w:hAnsi="Times New Roman" w:eastAsia="宋体" w:cs="Times New Roman"/>
          <w:b/>
          <w:bCs/>
          <w:color w:val="000000" w:themeColor="text1"/>
          <w:sz w:val="32"/>
          <w:szCs w:val="32"/>
          <w:lang w:val="en-US" w:eastAsia="zh-CN"/>
          <w14:textFill>
            <w14:solidFill>
              <w14:schemeClr w14:val="tx1"/>
            </w14:solidFill>
          </w14:textFill>
        </w:rPr>
        <w:t>C</w:t>
      </w:r>
      <w:r>
        <w:rPr>
          <w:rFonts w:hint="eastAsia" w:ascii="Times New Roman" w:hAnsi="Times New Roman" w:eastAsia="宋体" w:cs="Times New Roman"/>
          <w:b/>
          <w:bCs/>
          <w:color w:val="000000" w:themeColor="text1"/>
          <w:sz w:val="32"/>
          <w:szCs w:val="32"/>
          <w14:textFill>
            <w14:solidFill>
              <w14:schemeClr w14:val="tx1"/>
            </w14:solidFill>
          </w14:textFill>
        </w:rPr>
        <w:t xml:space="preserve">  集成平台</w:t>
      </w:r>
      <w:r>
        <w:rPr>
          <w:rFonts w:hint="eastAsia" w:ascii="Times New Roman" w:hAnsi="Times New Roman" w:eastAsia="宋体" w:cs="Times New Roman"/>
          <w:b/>
          <w:bCs/>
          <w:color w:val="000000" w:themeColor="text1"/>
          <w:sz w:val="32"/>
          <w:szCs w:val="32"/>
          <w:lang w:val="en-US" w:eastAsia="zh-CN"/>
          <w14:textFill>
            <w14:solidFill>
              <w14:schemeClr w14:val="tx1"/>
            </w14:solidFill>
          </w14:textFill>
        </w:rPr>
        <w:t>日常检查表</w:t>
      </w:r>
    </w:p>
    <w:p w14:paraId="73E2444C">
      <w:pPr>
        <w:spacing w:before="156" w:beforeLines="50" w:after="156" w:afterLines="50" w:line="240" w:lineRule="auto"/>
        <w:jc w:val="center"/>
        <w:rPr>
          <w:rFonts w:hint="default" w:ascii="Arial" w:hAnsi="Arial" w:eastAsia="黑体" w:cs="Arial"/>
          <w:b w:val="0"/>
          <w:bCs w:val="0"/>
          <w:color w:val="000000" w:themeColor="text1"/>
          <w:sz w:val="20"/>
          <w:szCs w:val="20"/>
          <w14:textFill>
            <w14:solidFill>
              <w14:schemeClr w14:val="tx1"/>
            </w14:solidFill>
          </w14:textFill>
        </w:rPr>
      </w:pPr>
      <w:r>
        <w:rPr>
          <w:rFonts w:hint="default" w:ascii="Arial" w:hAnsi="Arial" w:eastAsia="黑体" w:cs="Arial"/>
          <w:b w:val="0"/>
          <w:bCs w:val="0"/>
          <w:color w:val="000000" w:themeColor="text1"/>
          <w:sz w:val="20"/>
          <w:szCs w:val="20"/>
          <w:lang w:val="en-US" w:eastAsia="zh-CN"/>
          <w14:textFill>
            <w14:solidFill>
              <w14:schemeClr w14:val="tx1"/>
            </w14:solidFill>
          </w14:textFill>
        </w:rPr>
        <w:t>C01  集成平台日常巡查表</w:t>
      </w:r>
    </w:p>
    <w:tbl>
      <w:tblPr>
        <w:tblStyle w:val="23"/>
        <w:tblW w:w="8778" w:type="dxa"/>
        <w:tblInd w:w="13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0"/>
        <w:gridCol w:w="1199"/>
        <w:gridCol w:w="5524"/>
        <w:gridCol w:w="1313"/>
        <w:gridCol w:w="12"/>
      </w:tblGrid>
      <w:tr w14:paraId="45BF2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trHeight w:val="422" w:hRule="atLeast"/>
        </w:trPr>
        <w:tc>
          <w:tcPr>
            <w:tcW w:w="730" w:type="dxa"/>
            <w:vAlign w:val="center"/>
          </w:tcPr>
          <w:p w14:paraId="7D509DBE">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序号</w:t>
            </w:r>
          </w:p>
        </w:tc>
        <w:tc>
          <w:tcPr>
            <w:tcW w:w="1199" w:type="dxa"/>
            <w:vAlign w:val="center"/>
          </w:tcPr>
          <w:p w14:paraId="192E5997">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检查项目</w:t>
            </w:r>
          </w:p>
        </w:tc>
        <w:tc>
          <w:tcPr>
            <w:tcW w:w="5524" w:type="dxa"/>
            <w:vAlign w:val="center"/>
          </w:tcPr>
          <w:p w14:paraId="2D23EC40">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检查内容与要求</w:t>
            </w:r>
          </w:p>
        </w:tc>
        <w:tc>
          <w:tcPr>
            <w:tcW w:w="1313" w:type="dxa"/>
            <w:vAlign w:val="center"/>
          </w:tcPr>
          <w:p w14:paraId="10BB0E64">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检查结果</w:t>
            </w:r>
          </w:p>
        </w:tc>
      </w:tr>
      <w:tr w14:paraId="42724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336" w:hRule="atLeast"/>
        </w:trPr>
        <w:tc>
          <w:tcPr>
            <w:tcW w:w="730" w:type="dxa"/>
            <w:vMerge w:val="restart"/>
            <w:vAlign w:val="center"/>
          </w:tcPr>
          <w:p w14:paraId="5054C0BA">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1</w:t>
            </w:r>
          </w:p>
        </w:tc>
        <w:tc>
          <w:tcPr>
            <w:tcW w:w="1199" w:type="dxa"/>
            <w:vMerge w:val="restart"/>
            <w:vAlign w:val="center"/>
          </w:tcPr>
          <w:p w14:paraId="761E82FA">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支</w:t>
            </w:r>
            <w:r>
              <w:rPr>
                <w:rFonts w:hint="eastAsia" w:cs="Times New Roman"/>
                <w:color w:val="000000" w:themeColor="text1"/>
                <w:kern w:val="2"/>
                <w:sz w:val="21"/>
                <w:szCs w:val="21"/>
                <w:lang w:val="en-US" w:eastAsia="zh-CN"/>
                <w14:textFill>
                  <w14:solidFill>
                    <w14:schemeClr w14:val="tx1"/>
                  </w14:solidFill>
                </w14:textFill>
              </w:rPr>
              <w:t>承</w:t>
            </w:r>
            <w:r>
              <w:rPr>
                <w:rFonts w:hint="default" w:ascii="Times New Roman" w:hAnsi="Times New Roman" w:eastAsia="宋体" w:cs="Times New Roman"/>
                <w:color w:val="000000" w:themeColor="text1"/>
                <w:kern w:val="2"/>
                <w:sz w:val="21"/>
                <w:szCs w:val="21"/>
                <w14:textFill>
                  <w14:solidFill>
                    <w14:schemeClr w14:val="tx1"/>
                  </w14:solidFill>
                </w14:textFill>
              </w:rPr>
              <w:t>系统</w:t>
            </w:r>
          </w:p>
        </w:tc>
        <w:tc>
          <w:tcPr>
            <w:tcW w:w="5524" w:type="dxa"/>
            <w:vAlign w:val="center"/>
          </w:tcPr>
          <w:p w14:paraId="74847153">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换向盒状态</w:t>
            </w:r>
            <w:r>
              <w:rPr>
                <w:rFonts w:hint="eastAsia" w:ascii="Times New Roman" w:hAnsi="Times New Roman" w:eastAsia="宋体" w:cs="Times New Roman"/>
                <w:color w:val="000000" w:themeColor="text1"/>
                <w:kern w:val="2"/>
                <w:sz w:val="21"/>
                <w:szCs w:val="21"/>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14:textFill>
                  <w14:solidFill>
                    <w14:schemeClr w14:val="tx1"/>
                  </w14:solidFill>
                </w14:textFill>
              </w:rPr>
              <w:t>手动切换状态，是否卡滞，弹簧是否受力</w:t>
            </w:r>
            <w:r>
              <w:rPr>
                <w:rFonts w:hint="eastAsia" w:ascii="Times New Roman" w:hAnsi="Times New Roman" w:eastAsia="宋体" w:cs="Times New Roman"/>
                <w:color w:val="000000" w:themeColor="text1"/>
                <w:kern w:val="2"/>
                <w:sz w:val="21"/>
                <w:szCs w:val="21"/>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14:textFill>
                  <w14:solidFill>
                    <w14:schemeClr w14:val="tx1"/>
                  </w14:solidFill>
                </w14:textFill>
              </w:rPr>
              <w:t>；</w:t>
            </w:r>
          </w:p>
        </w:tc>
        <w:tc>
          <w:tcPr>
            <w:tcW w:w="1313" w:type="dxa"/>
            <w:vAlign w:val="center"/>
          </w:tcPr>
          <w:p w14:paraId="75A5BE2D">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7AB57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411" w:hRule="atLeast"/>
        </w:trPr>
        <w:tc>
          <w:tcPr>
            <w:tcW w:w="730" w:type="dxa"/>
            <w:vMerge w:val="continue"/>
            <w:tcBorders>
              <w:top w:val="nil"/>
            </w:tcBorders>
            <w:vAlign w:val="center"/>
          </w:tcPr>
          <w:p w14:paraId="0823745F">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0778BDC2">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405E0D94">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滚轮轴套、</w:t>
            </w: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导轨</w:t>
            </w:r>
            <w:r>
              <w:rPr>
                <w:rFonts w:hint="default" w:ascii="Times New Roman" w:hAnsi="Times New Roman" w:eastAsia="宋体" w:cs="Times New Roman"/>
                <w:color w:val="000000" w:themeColor="text1"/>
                <w:kern w:val="2"/>
                <w:sz w:val="21"/>
                <w:szCs w:val="21"/>
                <w14:textFill>
                  <w14:solidFill>
                    <w14:schemeClr w14:val="tx1"/>
                  </w14:solidFill>
                </w14:textFill>
              </w:rPr>
              <w:t>面润滑；</w:t>
            </w:r>
          </w:p>
        </w:tc>
        <w:tc>
          <w:tcPr>
            <w:tcW w:w="1313" w:type="dxa"/>
            <w:vAlign w:val="center"/>
          </w:tcPr>
          <w:p w14:paraId="3771325C">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4F954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336" w:hRule="atLeast"/>
        </w:trPr>
        <w:tc>
          <w:tcPr>
            <w:tcW w:w="730" w:type="dxa"/>
            <w:vMerge w:val="continue"/>
            <w:tcBorders>
              <w:top w:val="nil"/>
            </w:tcBorders>
            <w:vAlign w:val="center"/>
          </w:tcPr>
          <w:p w14:paraId="3C3333F4">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50FAA633">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2CEEAFCA">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附墙座挂摆点卫生清洁；</w:t>
            </w:r>
          </w:p>
        </w:tc>
        <w:tc>
          <w:tcPr>
            <w:tcW w:w="1313" w:type="dxa"/>
            <w:vAlign w:val="center"/>
          </w:tcPr>
          <w:p w14:paraId="73E2B75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4608F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441" w:hRule="atLeast"/>
        </w:trPr>
        <w:tc>
          <w:tcPr>
            <w:tcW w:w="730" w:type="dxa"/>
            <w:vMerge w:val="continue"/>
            <w:tcBorders>
              <w:top w:val="nil"/>
            </w:tcBorders>
            <w:vAlign w:val="center"/>
          </w:tcPr>
          <w:p w14:paraId="6EF6AC80">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2949CEEB">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64D0B008">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转爪弹簧及状态是否处于正常状态；</w:t>
            </w:r>
          </w:p>
        </w:tc>
        <w:tc>
          <w:tcPr>
            <w:tcW w:w="1313" w:type="dxa"/>
            <w:vAlign w:val="center"/>
          </w:tcPr>
          <w:p w14:paraId="14D1DD3F">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26708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tcBorders>
              <w:top w:val="nil"/>
            </w:tcBorders>
            <w:vAlign w:val="center"/>
          </w:tcPr>
          <w:p w14:paraId="22EFEB05">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4D0DDE56">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23948585">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各机构外观检查、螺栓是否有松动，受力部件焊缝是否完整，有无变形及明显裂纹；</w:t>
            </w:r>
          </w:p>
        </w:tc>
        <w:tc>
          <w:tcPr>
            <w:tcW w:w="1313" w:type="dxa"/>
            <w:vAlign w:val="center"/>
          </w:tcPr>
          <w:p w14:paraId="66C66F9D">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4CAD7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tcBorders>
              <w:top w:val="nil"/>
            </w:tcBorders>
            <w:vAlign w:val="center"/>
          </w:tcPr>
          <w:p w14:paraId="2D028B8A">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237F1A3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673809BB">
            <w:pPr>
              <w:pStyle w:val="71"/>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是否有大块污染物及混凝土粘连；</w:t>
            </w:r>
          </w:p>
        </w:tc>
        <w:tc>
          <w:tcPr>
            <w:tcW w:w="1313" w:type="dxa"/>
            <w:vAlign w:val="center"/>
          </w:tcPr>
          <w:p w14:paraId="774FC69D">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24856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tcBorders>
              <w:top w:val="nil"/>
            </w:tcBorders>
            <w:vAlign w:val="center"/>
          </w:tcPr>
          <w:p w14:paraId="2EBCABB6">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60BFB80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36282E26">
            <w:pPr>
              <w:pStyle w:val="71"/>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立柱</w:t>
            </w: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螺母</w:t>
            </w:r>
            <w:r>
              <w:rPr>
                <w:rFonts w:hint="default" w:ascii="Times New Roman" w:hAnsi="Times New Roman" w:eastAsia="宋体" w:cs="Times New Roman"/>
                <w:color w:val="000000" w:themeColor="text1"/>
                <w:kern w:val="2"/>
                <w:sz w:val="21"/>
                <w:szCs w:val="21"/>
                <w14:textFill>
                  <w14:solidFill>
                    <w14:schemeClr w14:val="tx1"/>
                  </w14:solidFill>
                </w14:textFill>
              </w:rPr>
              <w:t>的防松脱标识是否正常；</w:t>
            </w:r>
          </w:p>
        </w:tc>
        <w:tc>
          <w:tcPr>
            <w:tcW w:w="1313" w:type="dxa"/>
            <w:vAlign w:val="center"/>
          </w:tcPr>
          <w:p w14:paraId="6B0C3264">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20FD7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tcBorders>
              <w:top w:val="nil"/>
            </w:tcBorders>
            <w:vAlign w:val="center"/>
          </w:tcPr>
          <w:p w14:paraId="02F3336E">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3BB7B769">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0F7CE6D7">
            <w:pPr>
              <w:pStyle w:val="71"/>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其他非</w:t>
            </w: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集成平台</w:t>
            </w:r>
            <w:r>
              <w:rPr>
                <w:rFonts w:hint="default" w:ascii="Times New Roman" w:hAnsi="Times New Roman" w:eastAsia="宋体" w:cs="Times New Roman"/>
                <w:color w:val="000000" w:themeColor="text1"/>
                <w:kern w:val="2"/>
                <w:sz w:val="21"/>
                <w:szCs w:val="21"/>
                <w14:textFill>
                  <w14:solidFill>
                    <w14:schemeClr w14:val="tx1"/>
                  </w14:solidFill>
                </w14:textFill>
              </w:rPr>
              <w:t>组成部件是否与</w:t>
            </w: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集成平台</w:t>
            </w:r>
            <w:r>
              <w:rPr>
                <w:rFonts w:hint="default" w:ascii="Times New Roman" w:hAnsi="Times New Roman" w:eastAsia="宋体" w:cs="Times New Roman"/>
                <w:color w:val="000000" w:themeColor="text1"/>
                <w:kern w:val="2"/>
                <w:sz w:val="21"/>
                <w:szCs w:val="21"/>
                <w14:textFill>
                  <w14:solidFill>
                    <w14:schemeClr w14:val="tx1"/>
                  </w14:solidFill>
                </w14:textFill>
              </w:rPr>
              <w:t>有碰撞；</w:t>
            </w:r>
          </w:p>
        </w:tc>
        <w:tc>
          <w:tcPr>
            <w:tcW w:w="1313" w:type="dxa"/>
            <w:vAlign w:val="center"/>
          </w:tcPr>
          <w:p w14:paraId="2ACB0CE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264A3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336" w:hRule="atLeast"/>
        </w:trPr>
        <w:tc>
          <w:tcPr>
            <w:tcW w:w="730" w:type="dxa"/>
            <w:vMerge w:val="restart"/>
            <w:vAlign w:val="center"/>
          </w:tcPr>
          <w:p w14:paraId="0B2D6FD9">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2</w:t>
            </w:r>
          </w:p>
        </w:tc>
        <w:tc>
          <w:tcPr>
            <w:tcW w:w="1199" w:type="dxa"/>
            <w:vMerge w:val="restart"/>
            <w:vAlign w:val="center"/>
          </w:tcPr>
          <w:p w14:paraId="65D4E579">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动力</w:t>
            </w:r>
            <w:r>
              <w:rPr>
                <w:rFonts w:hint="default" w:ascii="Times New Roman" w:hAnsi="Times New Roman" w:eastAsia="宋体" w:cs="Times New Roman"/>
                <w:color w:val="000000" w:themeColor="text1"/>
                <w:kern w:val="2"/>
                <w:sz w:val="21"/>
                <w:szCs w:val="21"/>
                <w14:textFill>
                  <w14:solidFill>
                    <w14:schemeClr w14:val="tx1"/>
                  </w14:solidFill>
                </w14:textFill>
              </w:rPr>
              <w:t>系统</w:t>
            </w:r>
          </w:p>
        </w:tc>
        <w:tc>
          <w:tcPr>
            <w:tcW w:w="5524" w:type="dxa"/>
            <w:vAlign w:val="center"/>
          </w:tcPr>
          <w:p w14:paraId="742C0215">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电气系统开机后是否有故障及报警显示</w:t>
            </w: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t>电机运转是否正常</w:t>
            </w:r>
          </w:p>
        </w:tc>
        <w:tc>
          <w:tcPr>
            <w:tcW w:w="1313" w:type="dxa"/>
            <w:vAlign w:val="center"/>
          </w:tcPr>
          <w:p w14:paraId="7BBDFE7B">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09150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297" w:hRule="atLeast"/>
        </w:trPr>
        <w:tc>
          <w:tcPr>
            <w:tcW w:w="730" w:type="dxa"/>
            <w:vMerge w:val="continue"/>
            <w:tcBorders>
              <w:top w:val="nil"/>
            </w:tcBorders>
            <w:vAlign w:val="center"/>
          </w:tcPr>
          <w:p w14:paraId="3DFCF30C">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485D24CE">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09B5BE35">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油缸、泵站各连接线是否有虚接，断路；</w:t>
            </w:r>
          </w:p>
        </w:tc>
        <w:tc>
          <w:tcPr>
            <w:tcW w:w="1313" w:type="dxa"/>
            <w:vAlign w:val="center"/>
          </w:tcPr>
          <w:p w14:paraId="6614860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2CC9C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402" w:hRule="atLeast"/>
        </w:trPr>
        <w:tc>
          <w:tcPr>
            <w:tcW w:w="730" w:type="dxa"/>
            <w:vMerge w:val="continue"/>
            <w:tcBorders>
              <w:top w:val="nil"/>
            </w:tcBorders>
            <w:vAlign w:val="center"/>
          </w:tcPr>
          <w:p w14:paraId="290ACB8C">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387F76CC">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6A407421">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液压管道、密封件、高压</w:t>
            </w:r>
            <w:r>
              <w:rPr>
                <w:rFonts w:hint="default" w:ascii="Times New Roman" w:hAnsi="Times New Roman" w:eastAsia="宋体" w:cs="Times New Roman"/>
                <w:color w:val="000000" w:themeColor="text1"/>
                <w:sz w:val="21"/>
                <w:szCs w:val="21"/>
                <w:lang w:eastAsia="zh-CN"/>
                <w14:textFill>
                  <w14:solidFill>
                    <w14:schemeClr w14:val="tx1"/>
                  </w14:solidFill>
                </w14:textFill>
              </w:rPr>
              <w:t>油管</w:t>
            </w:r>
            <w:r>
              <w:rPr>
                <w:rFonts w:hint="default" w:ascii="Times New Roman" w:hAnsi="Times New Roman" w:eastAsia="宋体" w:cs="Times New Roman"/>
                <w:color w:val="000000" w:themeColor="text1"/>
                <w:sz w:val="21"/>
                <w:szCs w:val="21"/>
                <w14:textFill>
                  <w14:solidFill>
                    <w14:schemeClr w14:val="tx1"/>
                  </w14:solidFill>
                </w14:textFill>
              </w:rPr>
              <w:t>等</w:t>
            </w:r>
            <w:r>
              <w:rPr>
                <w:rFonts w:hint="eastAsia" w:cs="Times New Roman"/>
                <w:color w:val="000000" w:themeColor="text1"/>
                <w:sz w:val="21"/>
                <w:szCs w:val="21"/>
                <w:lang w:eastAsia="zh-CN"/>
                <w14:textFill>
                  <w14:solidFill>
                    <w14:schemeClr w14:val="tx1"/>
                  </w14:solidFill>
                </w14:textFill>
              </w:rPr>
              <w:t>连接</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是否</w:t>
            </w:r>
            <w:r>
              <w:rPr>
                <w:rFonts w:hint="default" w:ascii="Times New Roman" w:hAnsi="Times New Roman" w:eastAsia="宋体" w:cs="Times New Roman"/>
                <w:color w:val="000000" w:themeColor="text1"/>
                <w:sz w:val="21"/>
                <w:szCs w:val="21"/>
                <w14:textFill>
                  <w14:solidFill>
                    <w14:schemeClr w14:val="tx1"/>
                  </w14:solidFill>
                </w14:textFill>
              </w:rPr>
              <w:t>有松弛现象</w:t>
            </w:r>
          </w:p>
        </w:tc>
        <w:tc>
          <w:tcPr>
            <w:tcW w:w="1313" w:type="dxa"/>
            <w:vAlign w:val="center"/>
          </w:tcPr>
          <w:p w14:paraId="10312ABC">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78F7A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411" w:hRule="atLeast"/>
        </w:trPr>
        <w:tc>
          <w:tcPr>
            <w:tcW w:w="730" w:type="dxa"/>
            <w:vMerge w:val="continue"/>
            <w:tcBorders>
              <w:top w:val="nil"/>
            </w:tcBorders>
            <w:vAlign w:val="center"/>
          </w:tcPr>
          <w:p w14:paraId="68F1DFD9">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567E4F5B">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5F876C31">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油管是否有明显渗漏；</w:t>
            </w:r>
          </w:p>
        </w:tc>
        <w:tc>
          <w:tcPr>
            <w:tcW w:w="1313" w:type="dxa"/>
            <w:vAlign w:val="center"/>
          </w:tcPr>
          <w:p w14:paraId="313E1B2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7A72F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411" w:hRule="atLeast"/>
        </w:trPr>
        <w:tc>
          <w:tcPr>
            <w:tcW w:w="730" w:type="dxa"/>
            <w:vMerge w:val="continue"/>
            <w:tcBorders>
              <w:top w:val="nil"/>
            </w:tcBorders>
            <w:vAlign w:val="center"/>
          </w:tcPr>
          <w:p w14:paraId="2BFA7897">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4FE5B626">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5AF20B9B">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检查泵站液位高度、油色、油温等应符合设计要求；</w:t>
            </w:r>
          </w:p>
        </w:tc>
        <w:tc>
          <w:tcPr>
            <w:tcW w:w="1313" w:type="dxa"/>
            <w:vAlign w:val="center"/>
          </w:tcPr>
          <w:p w14:paraId="177644C0">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32679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471" w:hRule="atLeast"/>
        </w:trPr>
        <w:tc>
          <w:tcPr>
            <w:tcW w:w="730" w:type="dxa"/>
            <w:vMerge w:val="continue"/>
            <w:tcBorders>
              <w:top w:val="nil"/>
            </w:tcBorders>
            <w:vAlign w:val="center"/>
          </w:tcPr>
          <w:p w14:paraId="1EDCAC3B">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3979B469">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45BEFE16">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油缸与换向盒连接销轴是否连接可靠、润滑油正常，</w:t>
            </w:r>
          </w:p>
        </w:tc>
        <w:tc>
          <w:tcPr>
            <w:tcW w:w="1313" w:type="dxa"/>
            <w:vAlign w:val="center"/>
          </w:tcPr>
          <w:p w14:paraId="2D312D32">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59171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tcBorders>
              <w:top w:val="nil"/>
            </w:tcBorders>
            <w:vAlign w:val="center"/>
          </w:tcPr>
          <w:p w14:paraId="71FF9589">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1134D5CF">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0D969DED">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（位移）拉线传感器上是否有污染物粘连，并手动测试是否运动正常；</w:t>
            </w:r>
          </w:p>
        </w:tc>
        <w:tc>
          <w:tcPr>
            <w:tcW w:w="1313" w:type="dxa"/>
            <w:vAlign w:val="center"/>
          </w:tcPr>
          <w:p w14:paraId="481CD6FF">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088D9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446" w:hRule="atLeast"/>
        </w:trPr>
        <w:tc>
          <w:tcPr>
            <w:tcW w:w="730" w:type="dxa"/>
            <w:vMerge w:val="restart"/>
            <w:tcBorders>
              <w:top w:val="single" w:color="auto" w:sz="4" w:space="0"/>
              <w:left w:val="single" w:color="auto" w:sz="4" w:space="0"/>
              <w:bottom w:val="single" w:color="auto" w:sz="4" w:space="0"/>
              <w:right w:val="single" w:color="auto" w:sz="4" w:space="0"/>
            </w:tcBorders>
            <w:vAlign w:val="center"/>
          </w:tcPr>
          <w:p w14:paraId="2301F527">
            <w:pPr>
              <w:pStyle w:val="71"/>
              <w:keepNext w:val="0"/>
              <w:keepLines w:val="0"/>
              <w:widowControl/>
              <w:suppressLineNumbers w:val="0"/>
              <w:spacing w:before="0" w:beforeAutospacing="0" w:after="0" w:afterAutospacing="0"/>
              <w:ind w:left="0" w:right="0"/>
              <w:rPr>
                <w:rFonts w:hint="eastAsia" w:ascii="Times New Roman" w:hAnsi="Times New Roman" w:eastAsia="宋体" w:cs="Times New Roman"/>
                <w:color w:val="000000" w:themeColor="text1"/>
                <w:kern w:val="2"/>
                <w:sz w:val="21"/>
                <w:szCs w:val="21"/>
                <w:lang w:eastAsia="zh-CN"/>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3</w:t>
            </w:r>
          </w:p>
        </w:tc>
        <w:tc>
          <w:tcPr>
            <w:tcW w:w="1199" w:type="dxa"/>
            <w:vMerge w:val="restart"/>
            <w:tcBorders>
              <w:top w:val="single" w:color="auto" w:sz="4" w:space="0"/>
              <w:left w:val="single" w:color="auto" w:sz="4" w:space="0"/>
              <w:bottom w:val="single" w:color="auto" w:sz="4" w:space="0"/>
              <w:right w:val="single" w:color="auto" w:sz="4" w:space="0"/>
            </w:tcBorders>
            <w:vAlign w:val="center"/>
          </w:tcPr>
          <w:p w14:paraId="501DC54D">
            <w:pPr>
              <w:pStyle w:val="71"/>
              <w:keepNext w:val="0"/>
              <w:keepLines w:val="0"/>
              <w:widowControl/>
              <w:suppressLineNumbers w:val="0"/>
              <w:spacing w:before="0" w:beforeAutospacing="0" w:after="0" w:afterAutospacing="0"/>
              <w:ind w:left="0" w:right="0"/>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挂架</w:t>
            </w:r>
            <w:r>
              <w:rPr>
                <w:rFonts w:hint="eastAsia" w:cs="Times New Roman"/>
                <w:color w:val="000000" w:themeColor="text1"/>
                <w:kern w:val="2"/>
                <w:sz w:val="21"/>
                <w:szCs w:val="21"/>
                <w:lang w:val="en-US" w:eastAsia="zh-CN"/>
                <w14:textFill>
                  <w14:solidFill>
                    <w14:schemeClr w14:val="tx1"/>
                  </w14:solidFill>
                </w14:textFill>
              </w:rPr>
              <w:t>系统</w:t>
            </w:r>
          </w:p>
        </w:tc>
        <w:tc>
          <w:tcPr>
            <w:tcW w:w="5524" w:type="dxa"/>
            <w:tcBorders>
              <w:top w:val="single" w:color="auto" w:sz="4" w:space="0"/>
              <w:left w:val="single" w:color="auto" w:sz="4" w:space="0"/>
              <w:bottom w:val="single" w:color="auto" w:sz="4" w:space="0"/>
              <w:right w:val="single" w:color="auto" w:sz="4" w:space="0"/>
            </w:tcBorders>
            <w:vAlign w:val="center"/>
          </w:tcPr>
          <w:p w14:paraId="68740B70">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螺栓连接部位应无松脱现象；</w:t>
            </w:r>
          </w:p>
        </w:tc>
        <w:tc>
          <w:tcPr>
            <w:tcW w:w="1313" w:type="dxa"/>
            <w:tcBorders>
              <w:top w:val="single" w:color="auto" w:sz="4" w:space="0"/>
              <w:left w:val="single" w:color="auto" w:sz="4" w:space="0"/>
              <w:bottom w:val="single" w:color="auto" w:sz="4" w:space="0"/>
              <w:right w:val="single" w:color="auto" w:sz="4" w:space="0"/>
            </w:tcBorders>
            <w:vAlign w:val="center"/>
          </w:tcPr>
          <w:p w14:paraId="38396FDE">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40E04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371" w:hRule="atLeast"/>
        </w:trPr>
        <w:tc>
          <w:tcPr>
            <w:tcW w:w="730" w:type="dxa"/>
            <w:vMerge w:val="continue"/>
            <w:tcBorders>
              <w:top w:val="single" w:color="auto" w:sz="4" w:space="0"/>
              <w:left w:val="single" w:color="auto" w:sz="4" w:space="0"/>
              <w:bottom w:val="single" w:color="auto" w:sz="4" w:space="0"/>
              <w:right w:val="single" w:color="auto" w:sz="4" w:space="0"/>
            </w:tcBorders>
            <w:vAlign w:val="center"/>
          </w:tcPr>
          <w:p w14:paraId="3086DDCD">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single" w:color="auto" w:sz="4" w:space="0"/>
              <w:left w:val="single" w:color="auto" w:sz="4" w:space="0"/>
              <w:bottom w:val="single" w:color="auto" w:sz="4" w:space="0"/>
              <w:right w:val="single" w:color="auto" w:sz="4" w:space="0"/>
            </w:tcBorders>
            <w:vAlign w:val="center"/>
          </w:tcPr>
          <w:p w14:paraId="54B75DA6">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tcBorders>
              <w:top w:val="single" w:color="auto" w:sz="4" w:space="0"/>
              <w:left w:val="single" w:color="auto" w:sz="4" w:space="0"/>
              <w:bottom w:val="single" w:color="auto" w:sz="4" w:space="0"/>
              <w:right w:val="single" w:color="auto" w:sz="4" w:space="0"/>
            </w:tcBorders>
            <w:vAlign w:val="center"/>
          </w:tcPr>
          <w:p w14:paraId="461E0716">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翻板功能正常</w:t>
            </w:r>
          </w:p>
        </w:tc>
        <w:tc>
          <w:tcPr>
            <w:tcW w:w="1313" w:type="dxa"/>
            <w:tcBorders>
              <w:top w:val="single" w:color="auto" w:sz="4" w:space="0"/>
              <w:left w:val="single" w:color="auto" w:sz="4" w:space="0"/>
              <w:bottom w:val="single" w:color="auto" w:sz="4" w:space="0"/>
              <w:right w:val="single" w:color="auto" w:sz="4" w:space="0"/>
            </w:tcBorders>
            <w:vAlign w:val="center"/>
          </w:tcPr>
          <w:p w14:paraId="41B59D3A">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3C8D7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266" w:hRule="atLeast"/>
        </w:trPr>
        <w:tc>
          <w:tcPr>
            <w:tcW w:w="730" w:type="dxa"/>
            <w:vMerge w:val="continue"/>
            <w:tcBorders>
              <w:top w:val="single" w:color="auto" w:sz="4" w:space="0"/>
              <w:left w:val="single" w:color="auto" w:sz="4" w:space="0"/>
              <w:bottom w:val="single" w:color="auto" w:sz="4" w:space="0"/>
              <w:right w:val="single" w:color="auto" w:sz="4" w:space="0"/>
            </w:tcBorders>
            <w:vAlign w:val="center"/>
          </w:tcPr>
          <w:p w14:paraId="39C14FD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single" w:color="auto" w:sz="4" w:space="0"/>
              <w:left w:val="single" w:color="auto" w:sz="4" w:space="0"/>
              <w:bottom w:val="single" w:color="auto" w:sz="4" w:space="0"/>
              <w:right w:val="single" w:color="auto" w:sz="4" w:space="0"/>
            </w:tcBorders>
            <w:vAlign w:val="center"/>
          </w:tcPr>
          <w:p w14:paraId="714529AE">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tcBorders>
              <w:top w:val="single" w:color="auto" w:sz="4" w:space="0"/>
              <w:left w:val="single" w:color="auto" w:sz="4" w:space="0"/>
              <w:bottom w:val="single" w:color="auto" w:sz="4" w:space="0"/>
              <w:right w:val="single" w:color="auto" w:sz="4" w:space="0"/>
            </w:tcBorders>
            <w:vAlign w:val="center"/>
          </w:tcPr>
          <w:p w14:paraId="773C8394">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下挂通道安全防坠装置是否正常</w:t>
            </w:r>
          </w:p>
        </w:tc>
        <w:tc>
          <w:tcPr>
            <w:tcW w:w="1313" w:type="dxa"/>
            <w:tcBorders>
              <w:top w:val="single" w:color="auto" w:sz="4" w:space="0"/>
              <w:left w:val="single" w:color="auto" w:sz="4" w:space="0"/>
              <w:bottom w:val="single" w:color="auto" w:sz="4" w:space="0"/>
              <w:right w:val="single" w:color="auto" w:sz="4" w:space="0"/>
            </w:tcBorders>
            <w:vAlign w:val="center"/>
          </w:tcPr>
          <w:p w14:paraId="2864A983">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73A2F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386" w:hRule="atLeast"/>
        </w:trPr>
        <w:tc>
          <w:tcPr>
            <w:tcW w:w="730" w:type="dxa"/>
            <w:vMerge w:val="restart"/>
            <w:tcBorders>
              <w:top w:val="single" w:color="auto" w:sz="4" w:space="0"/>
              <w:left w:val="single" w:color="auto" w:sz="4" w:space="0"/>
              <w:bottom w:val="single" w:color="auto" w:sz="4" w:space="0"/>
              <w:right w:val="single" w:color="auto" w:sz="4" w:space="0"/>
            </w:tcBorders>
            <w:vAlign w:val="center"/>
          </w:tcPr>
          <w:p w14:paraId="75795E59">
            <w:pPr>
              <w:pStyle w:val="71"/>
              <w:keepNext w:val="0"/>
              <w:keepLines w:val="0"/>
              <w:widowControl/>
              <w:suppressLineNumbers w:val="0"/>
              <w:spacing w:before="0" w:beforeAutospacing="0" w:after="0" w:afterAutospacing="0"/>
              <w:ind w:left="0" w:right="0"/>
              <w:rPr>
                <w:rFonts w:hint="eastAsia" w:ascii="Times New Roman" w:hAnsi="Times New Roman" w:eastAsia="宋体" w:cs="Times New Roman"/>
                <w:color w:val="000000" w:themeColor="text1"/>
                <w:kern w:val="2"/>
                <w:sz w:val="21"/>
                <w:szCs w:val="21"/>
                <w:lang w:eastAsia="zh-CN"/>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4</w:t>
            </w:r>
          </w:p>
        </w:tc>
        <w:tc>
          <w:tcPr>
            <w:tcW w:w="1199" w:type="dxa"/>
            <w:vMerge w:val="restart"/>
            <w:tcBorders>
              <w:top w:val="single" w:color="auto" w:sz="4" w:space="0"/>
              <w:left w:val="single" w:color="auto" w:sz="4" w:space="0"/>
              <w:bottom w:val="single" w:color="auto" w:sz="4" w:space="0"/>
              <w:right w:val="single" w:color="auto" w:sz="4" w:space="0"/>
            </w:tcBorders>
            <w:vAlign w:val="center"/>
          </w:tcPr>
          <w:p w14:paraId="1FEAD2DF">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t>附属设备</w:t>
            </w:r>
          </w:p>
        </w:tc>
        <w:tc>
          <w:tcPr>
            <w:tcW w:w="5524" w:type="dxa"/>
            <w:tcBorders>
              <w:top w:val="single" w:color="auto" w:sz="4" w:space="0"/>
              <w:left w:val="single" w:color="auto" w:sz="4" w:space="0"/>
              <w:bottom w:val="single" w:color="auto" w:sz="4" w:space="0"/>
              <w:right w:val="single" w:color="auto" w:sz="4" w:space="0"/>
            </w:tcBorders>
            <w:vAlign w:val="center"/>
          </w:tcPr>
          <w:p w14:paraId="22F6E0CF">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主梁结构受力部件应无变形、裂纹，开焊和无严重锈蚀情况</w:t>
            </w:r>
          </w:p>
        </w:tc>
        <w:tc>
          <w:tcPr>
            <w:tcW w:w="1313" w:type="dxa"/>
            <w:tcBorders>
              <w:top w:val="single" w:color="auto" w:sz="4" w:space="0"/>
              <w:left w:val="single" w:color="auto" w:sz="4" w:space="0"/>
              <w:bottom w:val="single" w:color="auto" w:sz="4" w:space="0"/>
              <w:right w:val="single" w:color="auto" w:sz="4" w:space="0"/>
            </w:tcBorders>
            <w:vAlign w:val="center"/>
          </w:tcPr>
          <w:p w14:paraId="3A8D2A9F">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5E451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351" w:hRule="atLeast"/>
        </w:trPr>
        <w:tc>
          <w:tcPr>
            <w:tcW w:w="730" w:type="dxa"/>
            <w:vMerge w:val="continue"/>
            <w:tcBorders>
              <w:top w:val="single" w:color="auto" w:sz="4" w:space="0"/>
            </w:tcBorders>
            <w:vAlign w:val="center"/>
          </w:tcPr>
          <w:p w14:paraId="0FD48C69">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single" w:color="auto" w:sz="4" w:space="0"/>
            </w:tcBorders>
            <w:vAlign w:val="center"/>
          </w:tcPr>
          <w:p w14:paraId="16FAA6E3">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tcBorders>
              <w:top w:val="single" w:color="auto" w:sz="4" w:space="0"/>
            </w:tcBorders>
            <w:vAlign w:val="center"/>
          </w:tcPr>
          <w:p w14:paraId="5CE3283F">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供电正常，运行声光警示装置正常</w:t>
            </w:r>
          </w:p>
        </w:tc>
        <w:tc>
          <w:tcPr>
            <w:tcW w:w="1313" w:type="dxa"/>
            <w:tcBorders>
              <w:top w:val="single" w:color="auto" w:sz="4" w:space="0"/>
            </w:tcBorders>
            <w:vAlign w:val="center"/>
          </w:tcPr>
          <w:p w14:paraId="2641219F">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22704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396" w:hRule="atLeast"/>
        </w:trPr>
        <w:tc>
          <w:tcPr>
            <w:tcW w:w="730" w:type="dxa"/>
            <w:vMerge w:val="continue"/>
            <w:vAlign w:val="center"/>
          </w:tcPr>
          <w:p w14:paraId="52AE5FAD">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vAlign w:val="center"/>
          </w:tcPr>
          <w:p w14:paraId="01385888">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462CF275">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减速器、制动器工作可靠无异响</w:t>
            </w:r>
          </w:p>
        </w:tc>
        <w:tc>
          <w:tcPr>
            <w:tcW w:w="1313" w:type="dxa"/>
            <w:vAlign w:val="center"/>
          </w:tcPr>
          <w:p w14:paraId="5CCD7263">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20777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vAlign w:val="center"/>
          </w:tcPr>
          <w:p w14:paraId="4503F24A">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vAlign w:val="center"/>
          </w:tcPr>
          <w:p w14:paraId="0CE22D13">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3365D1D0">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钢丝绳符合标准要求，滚筒排列整齐，吊钩保险卡装置良好</w:t>
            </w:r>
          </w:p>
        </w:tc>
        <w:tc>
          <w:tcPr>
            <w:tcW w:w="1313" w:type="dxa"/>
            <w:vAlign w:val="center"/>
          </w:tcPr>
          <w:p w14:paraId="61906BA4">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0944B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321" w:hRule="atLeast"/>
        </w:trPr>
        <w:tc>
          <w:tcPr>
            <w:tcW w:w="730" w:type="dxa"/>
            <w:vMerge w:val="continue"/>
            <w:vAlign w:val="center"/>
          </w:tcPr>
          <w:p w14:paraId="6A26290A">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vAlign w:val="center"/>
          </w:tcPr>
          <w:p w14:paraId="0E7B8D57">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3FC55583">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高度显示器正常</w:t>
            </w:r>
          </w:p>
        </w:tc>
        <w:tc>
          <w:tcPr>
            <w:tcW w:w="1313" w:type="dxa"/>
            <w:vAlign w:val="center"/>
          </w:tcPr>
          <w:p w14:paraId="5B266374">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7752E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351" w:hRule="atLeast"/>
        </w:trPr>
        <w:tc>
          <w:tcPr>
            <w:tcW w:w="730" w:type="dxa"/>
            <w:vMerge w:val="continue"/>
            <w:vAlign w:val="center"/>
          </w:tcPr>
          <w:p w14:paraId="305EA6CA">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vAlign w:val="center"/>
          </w:tcPr>
          <w:p w14:paraId="2A328FDA">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5524" w:type="dxa"/>
            <w:vAlign w:val="center"/>
          </w:tcPr>
          <w:p w14:paraId="2E780D83">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紧急断电开关灵敏</w:t>
            </w:r>
          </w:p>
        </w:tc>
        <w:tc>
          <w:tcPr>
            <w:tcW w:w="1313" w:type="dxa"/>
            <w:vAlign w:val="center"/>
          </w:tcPr>
          <w:p w14:paraId="6D851B37">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42656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8778" w:type="dxa"/>
            <w:gridSpan w:val="5"/>
            <w:vAlign w:val="center"/>
          </w:tcPr>
          <w:p w14:paraId="347B9EB0">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 xml:space="preserve">巡检人员：                            巡检日期：  年   月   日  </w:t>
            </w:r>
          </w:p>
        </w:tc>
      </w:tr>
    </w:tbl>
    <w:p w14:paraId="369B79E0">
      <w:pPr>
        <w:ind w:left="0" w:leftChars="0" w:firstLine="0" w:firstLineChars="0"/>
        <w:rPr>
          <w:color w:val="000000" w:themeColor="text1"/>
          <w14:textFill>
            <w14:solidFill>
              <w14:schemeClr w14:val="tx1"/>
            </w14:solidFill>
          </w14:textFill>
        </w:rPr>
      </w:pPr>
      <w:bookmarkStart w:id="212" w:name="_GoBack"/>
      <w:bookmarkEnd w:id="212"/>
    </w:p>
    <w:p w14:paraId="362AE349">
      <w:pPr>
        <w:spacing w:before="156" w:beforeLines="50" w:after="156" w:afterLines="50" w:line="240" w:lineRule="auto"/>
        <w:jc w:val="center"/>
        <w:rPr>
          <w:rFonts w:hint="default" w:ascii="Arial" w:hAnsi="Arial" w:eastAsia="黑体" w:cs="Arial"/>
          <w:b w:val="0"/>
          <w:bCs w:val="0"/>
          <w:color w:val="000000" w:themeColor="text1"/>
          <w:sz w:val="21"/>
          <w:szCs w:val="21"/>
          <w:lang w:val="en-US" w:eastAsia="zh-CN"/>
          <w14:textFill>
            <w14:solidFill>
              <w14:schemeClr w14:val="tx1"/>
            </w14:solidFill>
          </w14:textFill>
        </w:rPr>
      </w:pPr>
      <w:r>
        <w:rPr>
          <w:rFonts w:hint="eastAsia" w:ascii="Arial" w:hAnsi="Arial" w:eastAsia="黑体" w:cs="Arial"/>
          <w:b w:val="0"/>
          <w:bCs w:val="0"/>
          <w:color w:val="000000" w:themeColor="text1"/>
          <w:sz w:val="21"/>
          <w:szCs w:val="21"/>
          <w:lang w:val="en-US" w:eastAsia="zh-CN"/>
          <w14:textFill>
            <w14:solidFill>
              <w14:schemeClr w14:val="tx1"/>
            </w14:solidFill>
          </w14:textFill>
        </w:rPr>
        <w:t>C02  集成平台月度检查表</w:t>
      </w:r>
    </w:p>
    <w:tbl>
      <w:tblPr>
        <w:tblStyle w:val="23"/>
        <w:tblW w:w="8778" w:type="dxa"/>
        <w:tblInd w:w="13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0"/>
        <w:gridCol w:w="1199"/>
        <w:gridCol w:w="4737"/>
        <w:gridCol w:w="2100"/>
        <w:gridCol w:w="12"/>
      </w:tblGrid>
      <w:tr w14:paraId="36995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trHeight w:val="422" w:hRule="atLeast"/>
        </w:trPr>
        <w:tc>
          <w:tcPr>
            <w:tcW w:w="730" w:type="dxa"/>
            <w:vAlign w:val="center"/>
          </w:tcPr>
          <w:p w14:paraId="205FC21F">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序号</w:t>
            </w:r>
          </w:p>
        </w:tc>
        <w:tc>
          <w:tcPr>
            <w:tcW w:w="1199" w:type="dxa"/>
            <w:vAlign w:val="center"/>
          </w:tcPr>
          <w:p w14:paraId="36D2F3F5">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检查项目</w:t>
            </w:r>
          </w:p>
        </w:tc>
        <w:tc>
          <w:tcPr>
            <w:tcW w:w="4737" w:type="dxa"/>
            <w:vAlign w:val="center"/>
          </w:tcPr>
          <w:p w14:paraId="1BD497D6">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检查内容与要求</w:t>
            </w:r>
          </w:p>
        </w:tc>
        <w:tc>
          <w:tcPr>
            <w:tcW w:w="2100" w:type="dxa"/>
            <w:vAlign w:val="center"/>
          </w:tcPr>
          <w:p w14:paraId="3A693797">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检查结果</w:t>
            </w:r>
          </w:p>
        </w:tc>
      </w:tr>
      <w:tr w14:paraId="2CF99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restart"/>
            <w:vAlign w:val="center"/>
          </w:tcPr>
          <w:p w14:paraId="042274FB">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1</w:t>
            </w:r>
          </w:p>
        </w:tc>
        <w:tc>
          <w:tcPr>
            <w:tcW w:w="1199" w:type="dxa"/>
            <w:vMerge w:val="restart"/>
            <w:vAlign w:val="center"/>
          </w:tcPr>
          <w:p w14:paraId="177FF87E">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支</w:t>
            </w:r>
            <w:r>
              <w:rPr>
                <w:rFonts w:hint="eastAsia" w:cs="Times New Roman"/>
                <w:color w:val="000000" w:themeColor="text1"/>
                <w:kern w:val="2"/>
                <w:sz w:val="21"/>
                <w:szCs w:val="21"/>
                <w:lang w:val="en-US" w:eastAsia="zh-CN"/>
                <w14:textFill>
                  <w14:solidFill>
                    <w14:schemeClr w14:val="tx1"/>
                  </w14:solidFill>
                </w14:textFill>
              </w:rPr>
              <w:t>承</w:t>
            </w:r>
            <w:r>
              <w:rPr>
                <w:rFonts w:hint="default" w:ascii="Times New Roman" w:hAnsi="Times New Roman" w:eastAsia="宋体" w:cs="Times New Roman"/>
                <w:color w:val="000000" w:themeColor="text1"/>
                <w:kern w:val="2"/>
                <w:sz w:val="21"/>
                <w:szCs w:val="21"/>
                <w14:textFill>
                  <w14:solidFill>
                    <w14:schemeClr w14:val="tx1"/>
                  </w14:solidFill>
                </w14:textFill>
              </w:rPr>
              <w:t>系统</w:t>
            </w:r>
          </w:p>
        </w:tc>
        <w:tc>
          <w:tcPr>
            <w:tcW w:w="4737" w:type="dxa"/>
            <w:vAlign w:val="center"/>
          </w:tcPr>
          <w:p w14:paraId="63E731FA">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每月定期润滑换向盒转舌拔轴，防止无油状态下锈蚀或阻塞</w:t>
            </w:r>
          </w:p>
        </w:tc>
        <w:tc>
          <w:tcPr>
            <w:tcW w:w="2100" w:type="dxa"/>
            <w:vAlign w:val="center"/>
          </w:tcPr>
          <w:p w14:paraId="30207C4E">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66F64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tcBorders>
              <w:top w:val="nil"/>
            </w:tcBorders>
            <w:vAlign w:val="center"/>
          </w:tcPr>
          <w:p w14:paraId="76B07074">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07BC2326">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4737" w:type="dxa"/>
            <w:vAlign w:val="center"/>
          </w:tcPr>
          <w:p w14:paraId="16D5CD10">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每月</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定期</w:t>
            </w:r>
            <w:r>
              <w:rPr>
                <w:rFonts w:hint="default" w:ascii="Times New Roman" w:hAnsi="Times New Roman" w:eastAsia="宋体" w:cs="Times New Roman"/>
                <w:color w:val="000000" w:themeColor="text1"/>
                <w:sz w:val="21"/>
                <w:szCs w:val="21"/>
                <w14:textFill>
                  <w14:solidFill>
                    <w14:schemeClr w14:val="tx1"/>
                  </w14:solidFill>
                </w14:textFill>
              </w:rPr>
              <w:t>润滑导轨与附墙座及抱柱滚轮架</w:t>
            </w:r>
            <w:r>
              <w:rPr>
                <w:rFonts w:hint="eastAsia" w:cs="Times New Roman"/>
                <w:color w:val="000000" w:themeColor="text1"/>
                <w:sz w:val="21"/>
                <w:szCs w:val="21"/>
                <w:lang w:eastAsia="zh-CN"/>
                <w14:textFill>
                  <w14:solidFill>
                    <w14:schemeClr w14:val="tx1"/>
                  </w14:solidFill>
                </w14:textFill>
              </w:rPr>
              <w:t>连接</w:t>
            </w:r>
            <w:r>
              <w:rPr>
                <w:rFonts w:hint="default" w:ascii="Times New Roman" w:hAnsi="Times New Roman" w:eastAsia="宋体" w:cs="Times New Roman"/>
                <w:color w:val="000000" w:themeColor="text1"/>
                <w:sz w:val="21"/>
                <w:szCs w:val="21"/>
                <w14:textFill>
                  <w14:solidFill>
                    <w14:schemeClr w14:val="tx1"/>
                  </w14:solidFill>
                </w14:textFill>
              </w:rPr>
              <w:t>部位，防止无油状态下锈蚀或非正常磨损</w:t>
            </w:r>
          </w:p>
        </w:tc>
        <w:tc>
          <w:tcPr>
            <w:tcW w:w="2100" w:type="dxa"/>
            <w:vAlign w:val="center"/>
          </w:tcPr>
          <w:p w14:paraId="55B9F817">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7E387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tcBorders>
              <w:top w:val="nil"/>
            </w:tcBorders>
            <w:vAlign w:val="center"/>
          </w:tcPr>
          <w:p w14:paraId="0DF48F5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229856A8">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4737" w:type="dxa"/>
            <w:vAlign w:val="center"/>
          </w:tcPr>
          <w:p w14:paraId="108A4803">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t>每月复拧</w:t>
            </w: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螺母</w:t>
            </w:r>
            <w: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t>并设置</w:t>
            </w:r>
            <w:r>
              <w:rPr>
                <w:rFonts w:hint="default" w:ascii="Times New Roman" w:hAnsi="Times New Roman" w:eastAsia="宋体" w:cs="Times New Roman"/>
                <w:color w:val="000000" w:themeColor="text1"/>
                <w:kern w:val="2"/>
                <w:sz w:val="21"/>
                <w:szCs w:val="21"/>
                <w14:textFill>
                  <w14:solidFill>
                    <w14:schemeClr w14:val="tx1"/>
                  </w14:solidFill>
                </w14:textFill>
              </w:rPr>
              <w:t>防松脱标识</w:t>
            </w:r>
          </w:p>
        </w:tc>
        <w:tc>
          <w:tcPr>
            <w:tcW w:w="2100" w:type="dxa"/>
            <w:vAlign w:val="center"/>
          </w:tcPr>
          <w:p w14:paraId="38383527">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4366C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tcBorders>
              <w:top w:val="nil"/>
            </w:tcBorders>
            <w:vAlign w:val="center"/>
          </w:tcPr>
          <w:p w14:paraId="13A193CF">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669D459C">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4737" w:type="dxa"/>
            <w:vAlign w:val="center"/>
          </w:tcPr>
          <w:p w14:paraId="764A81BE">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每月</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定期检查</w:t>
            </w:r>
            <w:r>
              <w:rPr>
                <w:rFonts w:hint="default" w:ascii="Times New Roman" w:hAnsi="Times New Roman" w:eastAsia="宋体" w:cs="Times New Roman"/>
                <w:color w:val="000000" w:themeColor="text1"/>
                <w:sz w:val="21"/>
                <w:szCs w:val="21"/>
                <w14:textFill>
                  <w14:solidFill>
                    <w14:schemeClr w14:val="tx1"/>
                  </w14:solidFill>
                </w14:textFill>
              </w:rPr>
              <w:t>机构外观受力部件焊缝是否完整，有无变形及明显裂纹</w:t>
            </w:r>
          </w:p>
        </w:tc>
        <w:tc>
          <w:tcPr>
            <w:tcW w:w="2100" w:type="dxa"/>
            <w:vAlign w:val="center"/>
          </w:tcPr>
          <w:p w14:paraId="19968884">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30BF1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restart"/>
            <w:vAlign w:val="center"/>
          </w:tcPr>
          <w:p w14:paraId="283FB766">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2</w:t>
            </w:r>
          </w:p>
        </w:tc>
        <w:tc>
          <w:tcPr>
            <w:tcW w:w="1199" w:type="dxa"/>
            <w:vMerge w:val="restart"/>
            <w:vAlign w:val="center"/>
          </w:tcPr>
          <w:p w14:paraId="0E08209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液压系统</w:t>
            </w:r>
          </w:p>
        </w:tc>
        <w:tc>
          <w:tcPr>
            <w:tcW w:w="4737" w:type="dxa"/>
            <w:vAlign w:val="center"/>
          </w:tcPr>
          <w:p w14:paraId="3314C961">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油缸在使用过程中应定期更换液压油，清洗系统滤网，保证清洁度</w:t>
            </w:r>
          </w:p>
        </w:tc>
        <w:tc>
          <w:tcPr>
            <w:tcW w:w="2100" w:type="dxa"/>
            <w:vAlign w:val="center"/>
          </w:tcPr>
          <w:p w14:paraId="234131A0">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5188B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37" w:hRule="atLeast"/>
        </w:trPr>
        <w:tc>
          <w:tcPr>
            <w:tcW w:w="730" w:type="dxa"/>
            <w:vMerge w:val="continue"/>
            <w:tcBorders>
              <w:top w:val="nil"/>
            </w:tcBorders>
            <w:vAlign w:val="center"/>
          </w:tcPr>
          <w:p w14:paraId="2DB962F3">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5402DA72">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4737" w:type="dxa"/>
            <w:vAlign w:val="center"/>
          </w:tcPr>
          <w:p w14:paraId="366C2D9D">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位移传感器每提升3次，必须检查，并加以校准</w:t>
            </w:r>
          </w:p>
        </w:tc>
        <w:tc>
          <w:tcPr>
            <w:tcW w:w="2100" w:type="dxa"/>
            <w:vAlign w:val="center"/>
          </w:tcPr>
          <w:p w14:paraId="46D52B45">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1543A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37" w:hRule="atLeast"/>
        </w:trPr>
        <w:tc>
          <w:tcPr>
            <w:tcW w:w="730" w:type="dxa"/>
            <w:vMerge w:val="continue"/>
            <w:tcBorders>
              <w:top w:val="nil"/>
            </w:tcBorders>
            <w:vAlign w:val="center"/>
          </w:tcPr>
          <w:p w14:paraId="278E180F">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0BF2A8EE">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4737" w:type="dxa"/>
            <w:vAlign w:val="center"/>
          </w:tcPr>
          <w:p w14:paraId="2C4C46D2">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每</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月或每</w:t>
            </w:r>
            <w:r>
              <w:rPr>
                <w:rFonts w:hint="default" w:ascii="Times New Roman" w:hAnsi="Times New Roman" w:eastAsia="宋体" w:cs="Times New Roman"/>
                <w:color w:val="000000" w:themeColor="text1"/>
                <w:sz w:val="21"/>
                <w:szCs w:val="21"/>
                <w14:textFill>
                  <w14:solidFill>
                    <w14:schemeClr w14:val="tx1"/>
                  </w14:solidFill>
                </w14:textFill>
              </w:rPr>
              <w:t>提升5次后，需对进、回油上的滤芯器进行拆卸、清洗</w:t>
            </w:r>
            <w:r>
              <w:rPr>
                <w:rFonts w:hint="eastAsia" w:cs="Times New Roman"/>
                <w:color w:val="000000" w:themeColor="text1"/>
                <w:sz w:val="21"/>
                <w:szCs w:val="21"/>
                <w:lang w:eastAsia="zh-CN"/>
                <w14:textFill>
                  <w14:solidFill>
                    <w14:schemeClr w14:val="tx1"/>
                  </w14:solidFill>
                </w14:textFill>
              </w:rPr>
              <w:t>或</w:t>
            </w:r>
            <w:r>
              <w:rPr>
                <w:rFonts w:hint="default" w:ascii="Times New Roman" w:hAnsi="Times New Roman" w:eastAsia="宋体" w:cs="Times New Roman"/>
                <w:color w:val="000000" w:themeColor="text1"/>
                <w:sz w:val="21"/>
                <w:szCs w:val="21"/>
                <w14:textFill>
                  <w14:solidFill>
                    <w14:schemeClr w14:val="tx1"/>
                  </w14:solidFill>
                </w14:textFill>
              </w:rPr>
              <w:t>更换</w:t>
            </w:r>
          </w:p>
        </w:tc>
        <w:tc>
          <w:tcPr>
            <w:tcW w:w="2100" w:type="dxa"/>
            <w:vAlign w:val="center"/>
          </w:tcPr>
          <w:p w14:paraId="2A3D0577">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3FFBA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tcBorders>
              <w:top w:val="nil"/>
            </w:tcBorders>
            <w:vAlign w:val="center"/>
          </w:tcPr>
          <w:p w14:paraId="61B80D09">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60B5813A">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4737" w:type="dxa"/>
            <w:vAlign w:val="center"/>
          </w:tcPr>
          <w:p w14:paraId="3AB40D2D">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每月检查柜内电路元件、包括仪表、显示屏、继电器、控制开关按钮、空气开关等是否正常</w:t>
            </w:r>
          </w:p>
        </w:tc>
        <w:tc>
          <w:tcPr>
            <w:tcW w:w="2100" w:type="dxa"/>
            <w:vAlign w:val="center"/>
          </w:tcPr>
          <w:p w14:paraId="38FD3838">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5E99B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tcBorders>
              <w:top w:val="nil"/>
            </w:tcBorders>
            <w:vAlign w:val="center"/>
          </w:tcPr>
          <w:p w14:paraId="719F9E88">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nil"/>
            </w:tcBorders>
            <w:vAlign w:val="center"/>
          </w:tcPr>
          <w:p w14:paraId="5465D78A">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4737" w:type="dxa"/>
            <w:vAlign w:val="center"/>
          </w:tcPr>
          <w:p w14:paraId="0CDE1BE9">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每月清理一次柜内外积尘和污物，紧固导线连接螺栓或插头，检查各引出线老化情况</w:t>
            </w:r>
          </w:p>
        </w:tc>
        <w:tc>
          <w:tcPr>
            <w:tcW w:w="2100" w:type="dxa"/>
            <w:vAlign w:val="center"/>
          </w:tcPr>
          <w:p w14:paraId="6B471E2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174E8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restart"/>
            <w:tcBorders>
              <w:top w:val="single" w:color="auto" w:sz="4" w:space="0"/>
              <w:left w:val="single" w:color="auto" w:sz="4" w:space="0"/>
              <w:bottom w:val="single" w:color="auto" w:sz="4" w:space="0"/>
              <w:right w:val="single" w:color="auto" w:sz="4" w:space="0"/>
            </w:tcBorders>
            <w:vAlign w:val="center"/>
          </w:tcPr>
          <w:p w14:paraId="16F37B38">
            <w:pPr>
              <w:pStyle w:val="71"/>
              <w:keepNext w:val="0"/>
              <w:keepLines w:val="0"/>
              <w:widowControl/>
              <w:suppressLineNumbers w:val="0"/>
              <w:spacing w:before="0" w:beforeAutospacing="0" w:after="0" w:afterAutospacing="0"/>
              <w:ind w:left="0" w:right="0"/>
              <w:rPr>
                <w:rFonts w:hint="eastAsia" w:ascii="Times New Roman" w:hAnsi="Times New Roman" w:eastAsia="宋体" w:cs="Times New Roman"/>
                <w:color w:val="000000" w:themeColor="text1"/>
                <w:kern w:val="2"/>
                <w:sz w:val="21"/>
                <w:szCs w:val="21"/>
                <w:lang w:eastAsia="zh-CN"/>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3</w:t>
            </w:r>
          </w:p>
        </w:tc>
        <w:tc>
          <w:tcPr>
            <w:tcW w:w="1199" w:type="dxa"/>
            <w:vMerge w:val="restart"/>
            <w:tcBorders>
              <w:top w:val="single" w:color="auto" w:sz="4" w:space="0"/>
              <w:left w:val="single" w:color="auto" w:sz="4" w:space="0"/>
              <w:bottom w:val="single" w:color="auto" w:sz="4" w:space="0"/>
              <w:right w:val="single" w:color="auto" w:sz="4" w:space="0"/>
            </w:tcBorders>
            <w:vAlign w:val="center"/>
          </w:tcPr>
          <w:p w14:paraId="24119572">
            <w:pPr>
              <w:pStyle w:val="71"/>
              <w:keepNext w:val="0"/>
              <w:keepLines w:val="0"/>
              <w:widowControl/>
              <w:suppressLineNumbers w:val="0"/>
              <w:spacing w:before="0" w:beforeAutospacing="0" w:after="0" w:afterAutospacing="0"/>
              <w:ind w:left="0" w:right="0"/>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挂架</w:t>
            </w:r>
            <w:r>
              <w:rPr>
                <w:rFonts w:hint="eastAsia" w:cs="Times New Roman"/>
                <w:color w:val="000000" w:themeColor="text1"/>
                <w:kern w:val="2"/>
                <w:sz w:val="21"/>
                <w:szCs w:val="21"/>
                <w:lang w:val="en-US" w:eastAsia="zh-CN"/>
                <w14:textFill>
                  <w14:solidFill>
                    <w14:schemeClr w14:val="tx1"/>
                  </w14:solidFill>
                </w14:textFill>
              </w:rPr>
              <w:t>系统</w:t>
            </w:r>
          </w:p>
        </w:tc>
        <w:tc>
          <w:tcPr>
            <w:tcW w:w="4737" w:type="dxa"/>
            <w:tcBorders>
              <w:top w:val="single" w:color="auto" w:sz="4" w:space="0"/>
              <w:left w:val="single" w:color="auto" w:sz="4" w:space="0"/>
              <w:bottom w:val="single" w:color="auto" w:sz="4" w:space="0"/>
              <w:right w:val="single" w:color="auto" w:sz="4" w:space="0"/>
            </w:tcBorders>
            <w:vAlign w:val="center"/>
          </w:tcPr>
          <w:p w14:paraId="1537D38A">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t>每月复拧连接件</w:t>
            </w: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螺母</w:t>
            </w:r>
            <w: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t>并设置</w:t>
            </w:r>
            <w:r>
              <w:rPr>
                <w:rFonts w:hint="default" w:ascii="Times New Roman" w:hAnsi="Times New Roman" w:eastAsia="宋体" w:cs="Times New Roman"/>
                <w:color w:val="000000" w:themeColor="text1"/>
                <w:kern w:val="2"/>
                <w:sz w:val="21"/>
                <w:szCs w:val="21"/>
                <w14:textFill>
                  <w14:solidFill>
                    <w14:schemeClr w14:val="tx1"/>
                  </w14:solidFill>
                </w14:textFill>
              </w:rPr>
              <w:t>防松脱标识</w:t>
            </w:r>
          </w:p>
        </w:tc>
        <w:tc>
          <w:tcPr>
            <w:tcW w:w="2100" w:type="dxa"/>
            <w:tcBorders>
              <w:top w:val="single" w:color="auto" w:sz="4" w:space="0"/>
              <w:left w:val="single" w:color="auto" w:sz="4" w:space="0"/>
              <w:bottom w:val="single" w:color="auto" w:sz="4" w:space="0"/>
              <w:right w:val="single" w:color="auto" w:sz="4" w:space="0"/>
            </w:tcBorders>
            <w:vAlign w:val="center"/>
          </w:tcPr>
          <w:p w14:paraId="0421916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25E87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cantSplit/>
          <w:trHeight w:val="591" w:hRule="atLeast"/>
        </w:trPr>
        <w:tc>
          <w:tcPr>
            <w:tcW w:w="730" w:type="dxa"/>
            <w:vMerge w:val="continue"/>
            <w:tcBorders>
              <w:top w:val="single" w:color="auto" w:sz="4" w:space="0"/>
              <w:left w:val="single" w:color="auto" w:sz="4" w:space="0"/>
              <w:bottom w:val="single" w:color="auto" w:sz="4" w:space="0"/>
              <w:right w:val="single" w:color="auto" w:sz="4" w:space="0"/>
            </w:tcBorders>
            <w:vAlign w:val="center"/>
          </w:tcPr>
          <w:p w14:paraId="410B2F3C">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199" w:type="dxa"/>
            <w:vMerge w:val="continue"/>
            <w:tcBorders>
              <w:top w:val="single" w:color="auto" w:sz="4" w:space="0"/>
              <w:left w:val="single" w:color="auto" w:sz="4" w:space="0"/>
              <w:bottom w:val="single" w:color="auto" w:sz="4" w:space="0"/>
              <w:right w:val="single" w:color="auto" w:sz="4" w:space="0"/>
            </w:tcBorders>
            <w:vAlign w:val="center"/>
          </w:tcPr>
          <w:p w14:paraId="18121673">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4737" w:type="dxa"/>
            <w:tcBorders>
              <w:top w:val="single" w:color="auto" w:sz="4" w:space="0"/>
              <w:left w:val="single" w:color="auto" w:sz="4" w:space="0"/>
              <w:bottom w:val="single" w:color="auto" w:sz="4" w:space="0"/>
              <w:right w:val="single" w:color="auto" w:sz="4" w:space="0"/>
            </w:tcBorders>
            <w:vAlign w:val="center"/>
          </w:tcPr>
          <w:p w14:paraId="5BF22B02">
            <w:pPr>
              <w:pStyle w:val="71"/>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t>每月检查</w:t>
            </w:r>
            <w:r>
              <w:rPr>
                <w:rFonts w:hint="default" w:ascii="Times New Roman" w:hAnsi="Times New Roman" w:eastAsia="宋体" w:cs="Times New Roman"/>
                <w:color w:val="000000" w:themeColor="text1"/>
                <w:kern w:val="2"/>
                <w:sz w:val="21"/>
                <w:szCs w:val="21"/>
                <w14:textFill>
                  <w14:solidFill>
                    <w14:schemeClr w14:val="tx1"/>
                  </w14:solidFill>
                </w14:textFill>
              </w:rPr>
              <w:t>翻板</w:t>
            </w:r>
            <w: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t>销轴是否脱位</w:t>
            </w:r>
          </w:p>
        </w:tc>
        <w:tc>
          <w:tcPr>
            <w:tcW w:w="2100" w:type="dxa"/>
            <w:tcBorders>
              <w:top w:val="single" w:color="auto" w:sz="4" w:space="0"/>
              <w:left w:val="single" w:color="auto" w:sz="4" w:space="0"/>
              <w:bottom w:val="single" w:color="auto" w:sz="4" w:space="0"/>
              <w:right w:val="single" w:color="auto" w:sz="4" w:space="0"/>
            </w:tcBorders>
            <w:vAlign w:val="center"/>
          </w:tcPr>
          <w:p w14:paraId="2B1748DD">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r>
      <w:tr w14:paraId="19366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8778" w:type="dxa"/>
            <w:gridSpan w:val="5"/>
            <w:vAlign w:val="center"/>
          </w:tcPr>
          <w:p w14:paraId="7C30B6E1">
            <w:pPr>
              <w:pStyle w:val="71"/>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 xml:space="preserve">巡检人员：                            巡检日期：  年   月   日  </w:t>
            </w:r>
          </w:p>
        </w:tc>
      </w:tr>
    </w:tbl>
    <w:p w14:paraId="1AFB9079">
      <w:pPr>
        <w:ind w:left="0" w:leftChars="0" w:firstLine="0" w:firstLineChars="0"/>
        <w:rPr>
          <w:color w:val="000000" w:themeColor="text1"/>
          <w14:textFill>
            <w14:solidFill>
              <w14:schemeClr w14:val="tx1"/>
            </w14:solidFill>
          </w14:textFill>
        </w:rPr>
      </w:pPr>
    </w:p>
    <w:p w14:paraId="209AE3D7">
      <w:pPr>
        <w:ind w:left="0" w:leftChars="0" w:firstLine="0" w:firstLineChars="0"/>
        <w:rPr>
          <w:color w:val="000000" w:themeColor="text1"/>
          <w14:textFill>
            <w14:solidFill>
              <w14:schemeClr w14:val="tx1"/>
            </w14:solidFill>
          </w14:textFill>
        </w:rPr>
      </w:pPr>
    </w:p>
    <w:p w14:paraId="02F20508">
      <w:pPr>
        <w:ind w:left="0" w:leftChars="0" w:firstLine="0" w:firstLineChars="0"/>
        <w:rPr>
          <w:color w:val="000000" w:themeColor="text1"/>
          <w14:textFill>
            <w14:solidFill>
              <w14:schemeClr w14:val="tx1"/>
            </w14:solidFill>
          </w14:textFill>
        </w:rPr>
      </w:pPr>
    </w:p>
    <w:p w14:paraId="165DA76C">
      <w:pPr>
        <w:ind w:left="0" w:leftChars="0" w:firstLine="0" w:firstLineChars="0"/>
        <w:rPr>
          <w:color w:val="000000" w:themeColor="text1"/>
          <w14:textFill>
            <w14:solidFill>
              <w14:schemeClr w14:val="tx1"/>
            </w14:solidFill>
          </w14:textFill>
        </w:rPr>
      </w:pPr>
    </w:p>
    <w:p w14:paraId="6BD27A76">
      <w:pPr>
        <w:ind w:left="0" w:leftChars="0" w:firstLine="0" w:firstLineChars="0"/>
        <w:rPr>
          <w:color w:val="000000" w:themeColor="text1"/>
          <w14:textFill>
            <w14:solidFill>
              <w14:schemeClr w14:val="tx1"/>
            </w14:solidFill>
          </w14:textFill>
        </w:rPr>
      </w:pPr>
    </w:p>
    <w:p w14:paraId="0E3755B6">
      <w:pPr>
        <w:ind w:left="0" w:leftChars="0" w:firstLine="0" w:firstLineChars="0"/>
        <w:rPr>
          <w:color w:val="000000" w:themeColor="text1"/>
          <w14:textFill>
            <w14:solidFill>
              <w14:schemeClr w14:val="tx1"/>
            </w14:solidFill>
          </w14:textFill>
        </w:rPr>
      </w:pPr>
    </w:p>
    <w:p w14:paraId="22DBFAD5">
      <w:pPr>
        <w:ind w:left="0" w:leftChars="0" w:firstLine="0" w:firstLineChars="0"/>
        <w:rPr>
          <w:color w:val="000000" w:themeColor="text1"/>
          <w14:textFill>
            <w14:solidFill>
              <w14:schemeClr w14:val="tx1"/>
            </w14:solidFill>
          </w14:textFill>
        </w:rPr>
      </w:pPr>
    </w:p>
    <w:p w14:paraId="0E23A031">
      <w:pPr>
        <w:keepNext w:val="0"/>
        <w:keepLines w:val="0"/>
        <w:pageBreakBefore w:val="0"/>
        <w:widowControl w:val="0"/>
        <w:kinsoku/>
        <w:wordWrap/>
        <w:overflowPunct/>
        <w:topLinePunct w:val="0"/>
        <w:autoSpaceDE/>
        <w:autoSpaceDN/>
        <w:bidi w:val="0"/>
        <w:adjustRightInd/>
        <w:snapToGrid/>
        <w:textAlignment w:val="auto"/>
        <w:rPr>
          <w:rFonts w:hint="eastAsia"/>
          <w:color w:val="000000" w:themeColor="text1"/>
          <w:lang w:val="en-US" w:eastAsia="zh-CN"/>
          <w14:textFill>
            <w14:solidFill>
              <w14:schemeClr w14:val="tx1"/>
            </w14:solidFill>
          </w14:textFill>
        </w:rPr>
      </w:pPr>
    </w:p>
    <w:sectPr>
      <w:footerReference r:id="rId10" w:type="default"/>
      <w:pgSz w:w="11906" w:h="16838"/>
      <w:pgMar w:top="1418" w:right="1418" w:bottom="1418" w:left="1418" w:header="851" w:footer="992" w:gutter="0"/>
      <w:pgNumType w:start="1"/>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Helvetica LT Pro">
    <w:altName w:val="Yu Gothic UI"/>
    <w:panose1 w:val="020B0504020202020204"/>
    <w:charset w:val="00"/>
    <w:family w:val="auto"/>
    <w:pitch w:val="default"/>
    <w:sig w:usb0="00000000" w:usb1="00000000" w:usb2="00000000" w:usb3="00000000" w:csb0="20000097"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D640D">
    <w:pPr>
      <w:pStyle w:val="15"/>
      <w:ind w:firstLine="36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68463">
    <w:pPr>
      <w:pStyle w:val="15"/>
      <w:jc w:val="center"/>
    </w:pPr>
  </w:p>
  <w:p w14:paraId="6FB28394">
    <w:pPr>
      <w:pStyle w:val="15"/>
      <w:ind w:firstLine="36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3DFE8">
    <w:pPr>
      <w:pStyle w:val="15"/>
      <w:jc w:val="center"/>
    </w:pPr>
  </w:p>
  <w:p w14:paraId="235B0CBB">
    <w:pPr>
      <w:pStyle w:val="15"/>
      <w:ind w:firstLine="36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94026">
    <w:pPr>
      <w:pStyle w:val="15"/>
      <w:jc w:val="center"/>
    </w:pPr>
  </w:p>
  <w:p w14:paraId="62DD0411">
    <w:pPr>
      <w:pStyle w:val="15"/>
      <w:ind w:firstLine="36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252A1">
    <w:pPr>
      <w:pStyle w:val="15"/>
      <w:jc w:val="center"/>
    </w:pPr>
  </w:p>
  <w:p w14:paraId="298242D3">
    <w:pPr>
      <w:pStyle w:val="15"/>
      <w:ind w:firstLine="36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C91C0">
    <w:pPr>
      <w:pStyle w:val="1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46A83"/>
    <w:multiLevelType w:val="multilevel"/>
    <w:tmpl w:val="07946A83"/>
    <w:lvl w:ilvl="0" w:tentative="0">
      <w:start w:val="1"/>
      <w:numFmt w:val="decimal"/>
      <w:pStyle w:val="50"/>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E928DE4"/>
    <w:multiLevelType w:val="singleLevel"/>
    <w:tmpl w:val="0E928DE4"/>
    <w:lvl w:ilvl="0" w:tentative="0">
      <w:start w:val="1"/>
      <w:numFmt w:val="decimal"/>
      <w:suff w:val="space"/>
      <w:lvlText w:val="（%1）"/>
      <w:lvlJc w:val="left"/>
    </w:lvl>
  </w:abstractNum>
  <w:abstractNum w:abstractNumId="2">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75"/>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657D3FBC"/>
    <w:multiLevelType w:val="multilevel"/>
    <w:tmpl w:val="657D3FBC"/>
    <w:lvl w:ilvl="0" w:tentative="0">
      <w:start w:val="1"/>
      <w:numFmt w:val="upperLetter"/>
      <w:pStyle w:val="72"/>
      <w:suff w:val="nothing"/>
      <w:lvlText w:val="附录%1"/>
      <w:lvlJc w:val="left"/>
      <w:pPr>
        <w:ind w:left="0" w:firstLine="0"/>
      </w:pPr>
      <w:rPr>
        <w:rFonts w:hint="eastAsia"/>
        <w:spacing w:val="100"/>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eastAsia="黑体"/>
        <w:b w:val="0"/>
        <w:i w:val="0"/>
        <w:sz w:val="21"/>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8"/>
      <w:suff w:val="nothing"/>
      <w:lvlText w:val="%1%2.%3.%4　"/>
      <w:lvlJc w:val="left"/>
      <w:pPr>
        <w:ind w:left="3261" w:firstLine="0"/>
      </w:pPr>
      <w:rPr>
        <w:rFonts w:hint="eastAsia" w:ascii="黑体" w:hAns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c5YWQyYTczYzAwOGE2NjRlMzVmNzkyY2JlZjNlYjUifQ=="/>
  </w:docVars>
  <w:rsids>
    <w:rsidRoot w:val="00F530FB"/>
    <w:rsid w:val="00102A58"/>
    <w:rsid w:val="001E66D8"/>
    <w:rsid w:val="002D6C65"/>
    <w:rsid w:val="00691769"/>
    <w:rsid w:val="006D45B2"/>
    <w:rsid w:val="007231B0"/>
    <w:rsid w:val="00775701"/>
    <w:rsid w:val="008810F3"/>
    <w:rsid w:val="008A0E4A"/>
    <w:rsid w:val="00F530FB"/>
    <w:rsid w:val="00F65C84"/>
    <w:rsid w:val="00FD7BD1"/>
    <w:rsid w:val="01075EA5"/>
    <w:rsid w:val="01E00212"/>
    <w:rsid w:val="02021905"/>
    <w:rsid w:val="023170D2"/>
    <w:rsid w:val="02BF08A4"/>
    <w:rsid w:val="02CE7488"/>
    <w:rsid w:val="02F576BF"/>
    <w:rsid w:val="038866DA"/>
    <w:rsid w:val="03B01817"/>
    <w:rsid w:val="03B11A9D"/>
    <w:rsid w:val="03B71FF4"/>
    <w:rsid w:val="03F35447"/>
    <w:rsid w:val="04000291"/>
    <w:rsid w:val="045412A6"/>
    <w:rsid w:val="046A36F3"/>
    <w:rsid w:val="049F57FE"/>
    <w:rsid w:val="04FC07BA"/>
    <w:rsid w:val="05654685"/>
    <w:rsid w:val="05860158"/>
    <w:rsid w:val="05994BEA"/>
    <w:rsid w:val="05AA5893"/>
    <w:rsid w:val="05FB4C2C"/>
    <w:rsid w:val="063A78C0"/>
    <w:rsid w:val="066466EB"/>
    <w:rsid w:val="066A43D0"/>
    <w:rsid w:val="068943A3"/>
    <w:rsid w:val="06910EAC"/>
    <w:rsid w:val="06F7392B"/>
    <w:rsid w:val="0733430F"/>
    <w:rsid w:val="073E7BB3"/>
    <w:rsid w:val="082F1144"/>
    <w:rsid w:val="085F3023"/>
    <w:rsid w:val="0861122E"/>
    <w:rsid w:val="08D971DD"/>
    <w:rsid w:val="09091AF1"/>
    <w:rsid w:val="093A23FB"/>
    <w:rsid w:val="097E00A8"/>
    <w:rsid w:val="09BA7621"/>
    <w:rsid w:val="0AA60EE7"/>
    <w:rsid w:val="0AB71905"/>
    <w:rsid w:val="0AD35BED"/>
    <w:rsid w:val="0B17651E"/>
    <w:rsid w:val="0B4A060A"/>
    <w:rsid w:val="0B542FDE"/>
    <w:rsid w:val="0B6C038B"/>
    <w:rsid w:val="0BB05F2E"/>
    <w:rsid w:val="0BBC2B25"/>
    <w:rsid w:val="0BC55DC9"/>
    <w:rsid w:val="0C1A23EC"/>
    <w:rsid w:val="0C273A5D"/>
    <w:rsid w:val="0C460641"/>
    <w:rsid w:val="0C72482C"/>
    <w:rsid w:val="0D474670"/>
    <w:rsid w:val="0D991370"/>
    <w:rsid w:val="0DCE267B"/>
    <w:rsid w:val="0DCF2903"/>
    <w:rsid w:val="0E342E47"/>
    <w:rsid w:val="0EED4859"/>
    <w:rsid w:val="0EF40828"/>
    <w:rsid w:val="0F0B6594"/>
    <w:rsid w:val="0F1977E6"/>
    <w:rsid w:val="0F24110D"/>
    <w:rsid w:val="0F790E4C"/>
    <w:rsid w:val="0F84395A"/>
    <w:rsid w:val="0F9E3A5D"/>
    <w:rsid w:val="0FD82DB3"/>
    <w:rsid w:val="10484987"/>
    <w:rsid w:val="10F17B8D"/>
    <w:rsid w:val="1130081C"/>
    <w:rsid w:val="11577B76"/>
    <w:rsid w:val="11655C22"/>
    <w:rsid w:val="11914A2B"/>
    <w:rsid w:val="11A71DB3"/>
    <w:rsid w:val="12335A41"/>
    <w:rsid w:val="127A1044"/>
    <w:rsid w:val="130628D8"/>
    <w:rsid w:val="13075D40"/>
    <w:rsid w:val="136B374C"/>
    <w:rsid w:val="1415343E"/>
    <w:rsid w:val="14186D58"/>
    <w:rsid w:val="142635A9"/>
    <w:rsid w:val="1441006B"/>
    <w:rsid w:val="14526798"/>
    <w:rsid w:val="14695EC2"/>
    <w:rsid w:val="146E1482"/>
    <w:rsid w:val="14B25801"/>
    <w:rsid w:val="14B7032D"/>
    <w:rsid w:val="14B959AF"/>
    <w:rsid w:val="14D7452C"/>
    <w:rsid w:val="151439D2"/>
    <w:rsid w:val="155C2B99"/>
    <w:rsid w:val="15B672E5"/>
    <w:rsid w:val="15CA76C5"/>
    <w:rsid w:val="15E40A1B"/>
    <w:rsid w:val="161F43DC"/>
    <w:rsid w:val="16244D15"/>
    <w:rsid w:val="164976AB"/>
    <w:rsid w:val="165A7663"/>
    <w:rsid w:val="16CF5E02"/>
    <w:rsid w:val="16F633D5"/>
    <w:rsid w:val="17932769"/>
    <w:rsid w:val="17B0596B"/>
    <w:rsid w:val="17CD0211"/>
    <w:rsid w:val="17FF70FD"/>
    <w:rsid w:val="181D2D01"/>
    <w:rsid w:val="18BC0ED7"/>
    <w:rsid w:val="190B6DC1"/>
    <w:rsid w:val="191044B0"/>
    <w:rsid w:val="1977008B"/>
    <w:rsid w:val="1A4906E6"/>
    <w:rsid w:val="1A78658D"/>
    <w:rsid w:val="1AA32E59"/>
    <w:rsid w:val="1AAC78DC"/>
    <w:rsid w:val="1B1E117D"/>
    <w:rsid w:val="1B6F4E18"/>
    <w:rsid w:val="1BB07B45"/>
    <w:rsid w:val="1BF540D8"/>
    <w:rsid w:val="1C2362A8"/>
    <w:rsid w:val="1C346708"/>
    <w:rsid w:val="1C353135"/>
    <w:rsid w:val="1C387FA6"/>
    <w:rsid w:val="1C8B457A"/>
    <w:rsid w:val="1C8D55CF"/>
    <w:rsid w:val="1CA23671"/>
    <w:rsid w:val="1CD31A7D"/>
    <w:rsid w:val="1D0B56BA"/>
    <w:rsid w:val="1D0C5C2A"/>
    <w:rsid w:val="1D4D6323"/>
    <w:rsid w:val="1D706292"/>
    <w:rsid w:val="1D7E5E8C"/>
    <w:rsid w:val="1D834723"/>
    <w:rsid w:val="1DC82FD6"/>
    <w:rsid w:val="1DCB397A"/>
    <w:rsid w:val="1E010879"/>
    <w:rsid w:val="1E6871BE"/>
    <w:rsid w:val="1E8A0861"/>
    <w:rsid w:val="1E9B7626"/>
    <w:rsid w:val="1EAE1C1A"/>
    <w:rsid w:val="1EB12B65"/>
    <w:rsid w:val="1EB451EE"/>
    <w:rsid w:val="1F0C3BE1"/>
    <w:rsid w:val="1F1C3BAF"/>
    <w:rsid w:val="1F254DD5"/>
    <w:rsid w:val="1F5A6FB2"/>
    <w:rsid w:val="1F7A63CB"/>
    <w:rsid w:val="200B13BD"/>
    <w:rsid w:val="20360CA0"/>
    <w:rsid w:val="20832DF2"/>
    <w:rsid w:val="20903859"/>
    <w:rsid w:val="20F76D39"/>
    <w:rsid w:val="21230E06"/>
    <w:rsid w:val="218A371D"/>
    <w:rsid w:val="219D08AB"/>
    <w:rsid w:val="22145011"/>
    <w:rsid w:val="22E27169"/>
    <w:rsid w:val="23A979DB"/>
    <w:rsid w:val="23AE346B"/>
    <w:rsid w:val="24727BE5"/>
    <w:rsid w:val="24787223"/>
    <w:rsid w:val="249917FE"/>
    <w:rsid w:val="253029A7"/>
    <w:rsid w:val="256E0B18"/>
    <w:rsid w:val="25720909"/>
    <w:rsid w:val="25A36CE1"/>
    <w:rsid w:val="25C24974"/>
    <w:rsid w:val="266210FD"/>
    <w:rsid w:val="26647BE9"/>
    <w:rsid w:val="26CF5A15"/>
    <w:rsid w:val="26EA6BA5"/>
    <w:rsid w:val="272441EC"/>
    <w:rsid w:val="272E3E1B"/>
    <w:rsid w:val="27467663"/>
    <w:rsid w:val="27A76206"/>
    <w:rsid w:val="27DD5EA5"/>
    <w:rsid w:val="27E361AC"/>
    <w:rsid w:val="27E64D5A"/>
    <w:rsid w:val="283C698F"/>
    <w:rsid w:val="28617E14"/>
    <w:rsid w:val="28D7264F"/>
    <w:rsid w:val="28FB0119"/>
    <w:rsid w:val="2902459D"/>
    <w:rsid w:val="294C5091"/>
    <w:rsid w:val="294F758D"/>
    <w:rsid w:val="29A82026"/>
    <w:rsid w:val="29EF2597"/>
    <w:rsid w:val="2A015B98"/>
    <w:rsid w:val="2A4B506C"/>
    <w:rsid w:val="2AF81FE0"/>
    <w:rsid w:val="2B586093"/>
    <w:rsid w:val="2BBC3B7F"/>
    <w:rsid w:val="2C332B88"/>
    <w:rsid w:val="2CC87C92"/>
    <w:rsid w:val="2CE6483A"/>
    <w:rsid w:val="2CF173E5"/>
    <w:rsid w:val="2D64317E"/>
    <w:rsid w:val="2D81520A"/>
    <w:rsid w:val="2D832B52"/>
    <w:rsid w:val="2D8477E3"/>
    <w:rsid w:val="2DAD3960"/>
    <w:rsid w:val="2DB96A6D"/>
    <w:rsid w:val="2EA41000"/>
    <w:rsid w:val="2EAB6F8D"/>
    <w:rsid w:val="2EBC4A66"/>
    <w:rsid w:val="2ED802D0"/>
    <w:rsid w:val="2F0C6789"/>
    <w:rsid w:val="2FB275F3"/>
    <w:rsid w:val="2FD763AC"/>
    <w:rsid w:val="301461DC"/>
    <w:rsid w:val="30640F12"/>
    <w:rsid w:val="30883269"/>
    <w:rsid w:val="30894E1C"/>
    <w:rsid w:val="30BC7283"/>
    <w:rsid w:val="30CC4A9F"/>
    <w:rsid w:val="30F15BD9"/>
    <w:rsid w:val="30F46739"/>
    <w:rsid w:val="31121454"/>
    <w:rsid w:val="31164591"/>
    <w:rsid w:val="31772EC7"/>
    <w:rsid w:val="31D420C7"/>
    <w:rsid w:val="325D3E6B"/>
    <w:rsid w:val="328720D5"/>
    <w:rsid w:val="32980813"/>
    <w:rsid w:val="32C76DF7"/>
    <w:rsid w:val="32D305D1"/>
    <w:rsid w:val="32F401BD"/>
    <w:rsid w:val="332638F5"/>
    <w:rsid w:val="33677ACD"/>
    <w:rsid w:val="336D3781"/>
    <w:rsid w:val="33835B53"/>
    <w:rsid w:val="33FC5134"/>
    <w:rsid w:val="34223277"/>
    <w:rsid w:val="34262D79"/>
    <w:rsid w:val="343E1A7A"/>
    <w:rsid w:val="347042BD"/>
    <w:rsid w:val="34781430"/>
    <w:rsid w:val="34A5249B"/>
    <w:rsid w:val="34C76A4F"/>
    <w:rsid w:val="34EA39B0"/>
    <w:rsid w:val="35132F06"/>
    <w:rsid w:val="35163581"/>
    <w:rsid w:val="356D7BD8"/>
    <w:rsid w:val="35F15E08"/>
    <w:rsid w:val="35F74BAD"/>
    <w:rsid w:val="36193B3E"/>
    <w:rsid w:val="3619751C"/>
    <w:rsid w:val="362B6D89"/>
    <w:rsid w:val="36486409"/>
    <w:rsid w:val="36651A8D"/>
    <w:rsid w:val="368E70AB"/>
    <w:rsid w:val="36B7697A"/>
    <w:rsid w:val="37114410"/>
    <w:rsid w:val="376578FE"/>
    <w:rsid w:val="384B5975"/>
    <w:rsid w:val="38AF1198"/>
    <w:rsid w:val="38B16CBE"/>
    <w:rsid w:val="38C96F1C"/>
    <w:rsid w:val="39726FC0"/>
    <w:rsid w:val="399601F5"/>
    <w:rsid w:val="39D7459C"/>
    <w:rsid w:val="3A153E1C"/>
    <w:rsid w:val="3A4A1178"/>
    <w:rsid w:val="3AA01ED7"/>
    <w:rsid w:val="3AB90A97"/>
    <w:rsid w:val="3AD9000F"/>
    <w:rsid w:val="3ADB6274"/>
    <w:rsid w:val="3B3B6480"/>
    <w:rsid w:val="3B3B6D13"/>
    <w:rsid w:val="3B4065B5"/>
    <w:rsid w:val="3BA66595"/>
    <w:rsid w:val="3BDD7DCA"/>
    <w:rsid w:val="3BE86E9B"/>
    <w:rsid w:val="3C2D2042"/>
    <w:rsid w:val="3C313BE7"/>
    <w:rsid w:val="3C65673D"/>
    <w:rsid w:val="3C8D17F0"/>
    <w:rsid w:val="3CE84500"/>
    <w:rsid w:val="3D9B1CEB"/>
    <w:rsid w:val="3DDA6044"/>
    <w:rsid w:val="3E1C72D0"/>
    <w:rsid w:val="3E511EC0"/>
    <w:rsid w:val="3E815385"/>
    <w:rsid w:val="3E886713"/>
    <w:rsid w:val="3F20494E"/>
    <w:rsid w:val="3F495732"/>
    <w:rsid w:val="3F822844"/>
    <w:rsid w:val="3FAD3B61"/>
    <w:rsid w:val="3FFD0A3B"/>
    <w:rsid w:val="406A7292"/>
    <w:rsid w:val="41114F25"/>
    <w:rsid w:val="41656898"/>
    <w:rsid w:val="41912DBA"/>
    <w:rsid w:val="41FD11C6"/>
    <w:rsid w:val="4214206C"/>
    <w:rsid w:val="424E6BB3"/>
    <w:rsid w:val="42552642"/>
    <w:rsid w:val="427C033D"/>
    <w:rsid w:val="42A90637"/>
    <w:rsid w:val="42E934F8"/>
    <w:rsid w:val="4337346D"/>
    <w:rsid w:val="43427CF3"/>
    <w:rsid w:val="437C51C0"/>
    <w:rsid w:val="44090BFE"/>
    <w:rsid w:val="444725AD"/>
    <w:rsid w:val="45197536"/>
    <w:rsid w:val="46686E42"/>
    <w:rsid w:val="46875502"/>
    <w:rsid w:val="469459B8"/>
    <w:rsid w:val="46C16C66"/>
    <w:rsid w:val="46C41CD8"/>
    <w:rsid w:val="46CE4EDF"/>
    <w:rsid w:val="47595EDC"/>
    <w:rsid w:val="478745BB"/>
    <w:rsid w:val="479E6FA7"/>
    <w:rsid w:val="47A71BDB"/>
    <w:rsid w:val="47B54D60"/>
    <w:rsid w:val="47C0450C"/>
    <w:rsid w:val="489F4D07"/>
    <w:rsid w:val="48AD73DC"/>
    <w:rsid w:val="48B1021B"/>
    <w:rsid w:val="490B7830"/>
    <w:rsid w:val="490C7F41"/>
    <w:rsid w:val="494D744E"/>
    <w:rsid w:val="49BC5B92"/>
    <w:rsid w:val="49F953C3"/>
    <w:rsid w:val="4A0D21C2"/>
    <w:rsid w:val="4A275032"/>
    <w:rsid w:val="4A753745"/>
    <w:rsid w:val="4AF8077D"/>
    <w:rsid w:val="4B282AB1"/>
    <w:rsid w:val="4B4777C2"/>
    <w:rsid w:val="4B963A09"/>
    <w:rsid w:val="4BBD5522"/>
    <w:rsid w:val="4BBD6DA8"/>
    <w:rsid w:val="4C5C5FB6"/>
    <w:rsid w:val="4C904B21"/>
    <w:rsid w:val="4D2F3A34"/>
    <w:rsid w:val="4D64659D"/>
    <w:rsid w:val="4D8409ED"/>
    <w:rsid w:val="4DBC2D53"/>
    <w:rsid w:val="4E4B37CC"/>
    <w:rsid w:val="4EB8293C"/>
    <w:rsid w:val="4F2064F4"/>
    <w:rsid w:val="4F6705EB"/>
    <w:rsid w:val="4F781E8C"/>
    <w:rsid w:val="4F8A49B2"/>
    <w:rsid w:val="4FB95C1B"/>
    <w:rsid w:val="4FEC434C"/>
    <w:rsid w:val="50221AAF"/>
    <w:rsid w:val="502A595D"/>
    <w:rsid w:val="50323790"/>
    <w:rsid w:val="50416A9E"/>
    <w:rsid w:val="50476575"/>
    <w:rsid w:val="50504BB7"/>
    <w:rsid w:val="50AD2A84"/>
    <w:rsid w:val="50B73609"/>
    <w:rsid w:val="513A4DC8"/>
    <w:rsid w:val="51864D34"/>
    <w:rsid w:val="518B5691"/>
    <w:rsid w:val="51A51B72"/>
    <w:rsid w:val="51B11E8B"/>
    <w:rsid w:val="51DD0647"/>
    <w:rsid w:val="51F273C5"/>
    <w:rsid w:val="523A5365"/>
    <w:rsid w:val="526A11AC"/>
    <w:rsid w:val="530E3233"/>
    <w:rsid w:val="535B5D4C"/>
    <w:rsid w:val="53B33B37"/>
    <w:rsid w:val="53C733E2"/>
    <w:rsid w:val="53DA3B22"/>
    <w:rsid w:val="53E37A74"/>
    <w:rsid w:val="541F316F"/>
    <w:rsid w:val="549A4653"/>
    <w:rsid w:val="54C622E6"/>
    <w:rsid w:val="54D23E9D"/>
    <w:rsid w:val="54D541FD"/>
    <w:rsid w:val="55035A0D"/>
    <w:rsid w:val="558E0B1C"/>
    <w:rsid w:val="55986DE4"/>
    <w:rsid w:val="55EB0B67"/>
    <w:rsid w:val="569752EE"/>
    <w:rsid w:val="56A97D29"/>
    <w:rsid w:val="56B37C4E"/>
    <w:rsid w:val="57A41565"/>
    <w:rsid w:val="58453E4A"/>
    <w:rsid w:val="58D16870"/>
    <w:rsid w:val="58F5454D"/>
    <w:rsid w:val="591B33BE"/>
    <w:rsid w:val="59625713"/>
    <w:rsid w:val="596F4300"/>
    <w:rsid w:val="59A86211"/>
    <w:rsid w:val="59AF227C"/>
    <w:rsid w:val="5A0C5FF2"/>
    <w:rsid w:val="5A2570B4"/>
    <w:rsid w:val="5AE51E2D"/>
    <w:rsid w:val="5B351D64"/>
    <w:rsid w:val="5B647768"/>
    <w:rsid w:val="5B914A01"/>
    <w:rsid w:val="5BAF6C35"/>
    <w:rsid w:val="5BC93CD9"/>
    <w:rsid w:val="5C13761F"/>
    <w:rsid w:val="5C14168E"/>
    <w:rsid w:val="5C1534BA"/>
    <w:rsid w:val="5CF80AB0"/>
    <w:rsid w:val="5D9B0B88"/>
    <w:rsid w:val="5DB836CA"/>
    <w:rsid w:val="5E07059E"/>
    <w:rsid w:val="5E1A6D02"/>
    <w:rsid w:val="5E1E526F"/>
    <w:rsid w:val="5E443FAD"/>
    <w:rsid w:val="5E7F4FE5"/>
    <w:rsid w:val="5ECE3876"/>
    <w:rsid w:val="5EFC207D"/>
    <w:rsid w:val="5FAA6092"/>
    <w:rsid w:val="5FD5169C"/>
    <w:rsid w:val="60002155"/>
    <w:rsid w:val="6023791B"/>
    <w:rsid w:val="604D3AF2"/>
    <w:rsid w:val="60BA64E5"/>
    <w:rsid w:val="60C37324"/>
    <w:rsid w:val="60D75C8B"/>
    <w:rsid w:val="60F27F30"/>
    <w:rsid w:val="60F4061E"/>
    <w:rsid w:val="60F77A48"/>
    <w:rsid w:val="611766DE"/>
    <w:rsid w:val="617D3332"/>
    <w:rsid w:val="61EB1FFB"/>
    <w:rsid w:val="61ED04B8"/>
    <w:rsid w:val="62205239"/>
    <w:rsid w:val="625F0CC6"/>
    <w:rsid w:val="62D84CC4"/>
    <w:rsid w:val="62DF285B"/>
    <w:rsid w:val="635A45A9"/>
    <w:rsid w:val="6370027D"/>
    <w:rsid w:val="63E978E5"/>
    <w:rsid w:val="64B864B8"/>
    <w:rsid w:val="64D63DC1"/>
    <w:rsid w:val="650C6EA7"/>
    <w:rsid w:val="652E248D"/>
    <w:rsid w:val="65663D62"/>
    <w:rsid w:val="6572103F"/>
    <w:rsid w:val="66831A43"/>
    <w:rsid w:val="66E343A0"/>
    <w:rsid w:val="67142F56"/>
    <w:rsid w:val="67184229"/>
    <w:rsid w:val="6744501E"/>
    <w:rsid w:val="67D7143F"/>
    <w:rsid w:val="67EC2727"/>
    <w:rsid w:val="67EE6B09"/>
    <w:rsid w:val="67F94ACD"/>
    <w:rsid w:val="68C1694C"/>
    <w:rsid w:val="68F960EF"/>
    <w:rsid w:val="69122899"/>
    <w:rsid w:val="691B4601"/>
    <w:rsid w:val="692C5D69"/>
    <w:rsid w:val="69392234"/>
    <w:rsid w:val="698A38BF"/>
    <w:rsid w:val="699B1719"/>
    <w:rsid w:val="69A90C7D"/>
    <w:rsid w:val="69BB70ED"/>
    <w:rsid w:val="69C929CA"/>
    <w:rsid w:val="69F73F79"/>
    <w:rsid w:val="6A53191B"/>
    <w:rsid w:val="6A70612A"/>
    <w:rsid w:val="6B2018FE"/>
    <w:rsid w:val="6B317667"/>
    <w:rsid w:val="6B37740E"/>
    <w:rsid w:val="6B471511"/>
    <w:rsid w:val="6B5E754C"/>
    <w:rsid w:val="6BD36FF6"/>
    <w:rsid w:val="6C2D05F1"/>
    <w:rsid w:val="6CCB06CC"/>
    <w:rsid w:val="6D1B3401"/>
    <w:rsid w:val="6D286848"/>
    <w:rsid w:val="6DEE2623"/>
    <w:rsid w:val="6E6733A0"/>
    <w:rsid w:val="6E881C94"/>
    <w:rsid w:val="6ED41871"/>
    <w:rsid w:val="6F3911E0"/>
    <w:rsid w:val="6F616041"/>
    <w:rsid w:val="6FC6362C"/>
    <w:rsid w:val="6FF62C2D"/>
    <w:rsid w:val="6FF65326"/>
    <w:rsid w:val="700E28FA"/>
    <w:rsid w:val="70343755"/>
    <w:rsid w:val="70666005"/>
    <w:rsid w:val="70755E6B"/>
    <w:rsid w:val="70BB79D3"/>
    <w:rsid w:val="70FA723B"/>
    <w:rsid w:val="713C6D66"/>
    <w:rsid w:val="71DA0A57"/>
    <w:rsid w:val="7229313A"/>
    <w:rsid w:val="72C963D7"/>
    <w:rsid w:val="72FE41AC"/>
    <w:rsid w:val="733665D1"/>
    <w:rsid w:val="73692C48"/>
    <w:rsid w:val="73740A39"/>
    <w:rsid w:val="73B33B60"/>
    <w:rsid w:val="746F2FAE"/>
    <w:rsid w:val="74714926"/>
    <w:rsid w:val="74B30D6E"/>
    <w:rsid w:val="74CC21AE"/>
    <w:rsid w:val="754C5653"/>
    <w:rsid w:val="756D3991"/>
    <w:rsid w:val="758E0A6E"/>
    <w:rsid w:val="75B46B29"/>
    <w:rsid w:val="75CD02BA"/>
    <w:rsid w:val="75ED062E"/>
    <w:rsid w:val="7641097A"/>
    <w:rsid w:val="766537ED"/>
    <w:rsid w:val="766905FD"/>
    <w:rsid w:val="76A33A6C"/>
    <w:rsid w:val="782F431C"/>
    <w:rsid w:val="788931AE"/>
    <w:rsid w:val="788D4201"/>
    <w:rsid w:val="78E70BDF"/>
    <w:rsid w:val="79027FE0"/>
    <w:rsid w:val="79183C14"/>
    <w:rsid w:val="79921C70"/>
    <w:rsid w:val="79AF1664"/>
    <w:rsid w:val="79C21DD2"/>
    <w:rsid w:val="7A08012D"/>
    <w:rsid w:val="7A1E5FEC"/>
    <w:rsid w:val="7A3E18D8"/>
    <w:rsid w:val="7A9279F6"/>
    <w:rsid w:val="7AA8546C"/>
    <w:rsid w:val="7AEC7106"/>
    <w:rsid w:val="7BE8032E"/>
    <w:rsid w:val="7CAA54CB"/>
    <w:rsid w:val="7CBA4FE2"/>
    <w:rsid w:val="7CCD4D16"/>
    <w:rsid w:val="7D32101D"/>
    <w:rsid w:val="7D470F6C"/>
    <w:rsid w:val="7D5E0064"/>
    <w:rsid w:val="7D5E17D8"/>
    <w:rsid w:val="7DC9214E"/>
    <w:rsid w:val="7E4C610E"/>
    <w:rsid w:val="7E5E6743"/>
    <w:rsid w:val="7EDE2CEF"/>
    <w:rsid w:val="7EE36A72"/>
    <w:rsid w:val="7F0314BA"/>
    <w:rsid w:val="7F1C7A5E"/>
    <w:rsid w:val="7F1E7E19"/>
    <w:rsid w:val="7F243D52"/>
    <w:rsid w:val="7F3C6DB9"/>
    <w:rsid w:val="7FC942BF"/>
    <w:rsid w:val="7FFB0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29"/>
    <w:qFormat/>
    <w:uiPriority w:val="0"/>
    <w:pPr>
      <w:widowControl/>
      <w:spacing w:before="312" w:beforeLines="100" w:after="312" w:afterLines="100"/>
      <w:jc w:val="center"/>
      <w:outlineLvl w:val="0"/>
    </w:pPr>
    <w:rPr>
      <w:b/>
      <w:sz w:val="32"/>
      <w:szCs w:val="32"/>
    </w:rPr>
  </w:style>
  <w:style w:type="paragraph" w:styleId="3">
    <w:name w:val="heading 2"/>
    <w:basedOn w:val="1"/>
    <w:next w:val="4"/>
    <w:link w:val="30"/>
    <w:qFormat/>
    <w:uiPriority w:val="0"/>
    <w:pPr>
      <w:widowControl/>
      <w:spacing w:before="156" w:after="156"/>
      <w:jc w:val="center"/>
      <w:outlineLvl w:val="1"/>
    </w:pPr>
    <w:rPr>
      <w:rFonts w:eastAsia="宋体"/>
      <w:b/>
      <w:sz w:val="30"/>
      <w:szCs w:val="30"/>
    </w:rPr>
  </w:style>
  <w:style w:type="paragraph" w:styleId="4">
    <w:name w:val="heading 3"/>
    <w:basedOn w:val="1"/>
    <w:next w:val="1"/>
    <w:link w:val="31"/>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32"/>
    <w:unhideWhenUsed/>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33"/>
    <w:unhideWhenUsed/>
    <w:qFormat/>
    <w:uiPriority w:val="0"/>
    <w:pPr>
      <w:keepNext/>
      <w:keepLines/>
      <w:spacing w:before="280" w:after="290" w:line="376" w:lineRule="auto"/>
      <w:outlineLvl w:val="4"/>
    </w:pPr>
    <w:rPr>
      <w:b/>
      <w:bCs/>
      <w:sz w:val="28"/>
      <w:szCs w:val="28"/>
    </w:rPr>
  </w:style>
  <w:style w:type="paragraph" w:styleId="7">
    <w:name w:val="heading 6"/>
    <w:basedOn w:val="1"/>
    <w:next w:val="1"/>
    <w:link w:val="34"/>
    <w:unhideWhenUsed/>
    <w:qFormat/>
    <w:uiPriority w:val="0"/>
    <w:pPr>
      <w:keepNext/>
      <w:keepLines/>
      <w:spacing w:before="240" w:after="64" w:line="320" w:lineRule="auto"/>
      <w:outlineLvl w:val="5"/>
    </w:pPr>
    <w:rPr>
      <w:rFonts w:ascii="Cambria" w:hAnsi="Cambria"/>
      <w:b/>
      <w:bCs/>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8">
    <w:name w:val="caption"/>
    <w:basedOn w:val="1"/>
    <w:next w:val="1"/>
    <w:qFormat/>
    <w:uiPriority w:val="0"/>
    <w:pPr>
      <w:jc w:val="center"/>
    </w:pPr>
    <w:rPr>
      <w:rFonts w:ascii="Arial" w:hAnsi="Arial" w:eastAsia="黑体" w:cs="Arial"/>
      <w:sz w:val="20"/>
      <w:szCs w:val="20"/>
    </w:rPr>
  </w:style>
  <w:style w:type="paragraph" w:styleId="9">
    <w:name w:val="Document Map"/>
    <w:basedOn w:val="1"/>
    <w:link w:val="37"/>
    <w:semiHidden/>
    <w:unhideWhenUsed/>
    <w:qFormat/>
    <w:uiPriority w:val="99"/>
    <w:rPr>
      <w:rFonts w:ascii="宋体"/>
      <w:sz w:val="18"/>
      <w:szCs w:val="18"/>
    </w:rPr>
  </w:style>
  <w:style w:type="paragraph" w:styleId="10">
    <w:name w:val="annotation text"/>
    <w:basedOn w:val="1"/>
    <w:link w:val="42"/>
    <w:unhideWhenUsed/>
    <w:qFormat/>
    <w:uiPriority w:val="99"/>
    <w:pPr>
      <w:jc w:val="left"/>
    </w:pPr>
  </w:style>
  <w:style w:type="paragraph" w:styleId="11">
    <w:name w:val="Body Text"/>
    <w:basedOn w:val="1"/>
    <w:qFormat/>
    <w:uiPriority w:val="1"/>
    <w:pPr>
      <w:ind w:left="110"/>
      <w:jc w:val="left"/>
    </w:pPr>
    <w:rPr>
      <w:rFonts w:ascii="宋体" w:hAnsi="宋体"/>
      <w:color w:val="000000" w:themeColor="text1"/>
      <w:kern w:val="0"/>
      <w:sz w:val="20"/>
      <w:szCs w:val="20"/>
      <w:lang w:eastAsia="en-US"/>
      <w14:textFill>
        <w14:solidFill>
          <w14:schemeClr w14:val="tx1"/>
        </w14:solidFill>
      </w14:textFill>
    </w:rPr>
  </w:style>
  <w:style w:type="paragraph" w:styleId="12">
    <w:name w:val="toc 3"/>
    <w:basedOn w:val="1"/>
    <w:next w:val="1"/>
    <w:semiHidden/>
    <w:unhideWhenUsed/>
    <w:qFormat/>
    <w:uiPriority w:val="39"/>
    <w:pPr>
      <w:ind w:left="840" w:leftChars="400"/>
    </w:pPr>
  </w:style>
  <w:style w:type="paragraph" w:styleId="13">
    <w:name w:val="Date"/>
    <w:basedOn w:val="1"/>
    <w:next w:val="1"/>
    <w:link w:val="38"/>
    <w:semiHidden/>
    <w:unhideWhenUsed/>
    <w:qFormat/>
    <w:uiPriority w:val="99"/>
    <w:pPr>
      <w:ind w:left="100" w:leftChars="2500"/>
    </w:pPr>
  </w:style>
  <w:style w:type="paragraph" w:styleId="14">
    <w:name w:val="Balloon Text"/>
    <w:basedOn w:val="1"/>
    <w:link w:val="39"/>
    <w:semiHidden/>
    <w:unhideWhenUsed/>
    <w:qFormat/>
    <w:uiPriority w:val="99"/>
    <w:rPr>
      <w:sz w:val="18"/>
      <w:szCs w:val="18"/>
    </w:rPr>
  </w:style>
  <w:style w:type="paragraph" w:styleId="15">
    <w:name w:val="footer"/>
    <w:basedOn w:val="1"/>
    <w:link w:val="36"/>
    <w:unhideWhenUsed/>
    <w:qFormat/>
    <w:uiPriority w:val="99"/>
    <w:pPr>
      <w:tabs>
        <w:tab w:val="center" w:pos="4153"/>
        <w:tab w:val="right" w:pos="8306"/>
      </w:tabs>
      <w:snapToGrid w:val="0"/>
      <w:jc w:val="left"/>
    </w:pPr>
    <w:rPr>
      <w:sz w:val="18"/>
      <w:szCs w:val="18"/>
    </w:rPr>
  </w:style>
  <w:style w:type="paragraph" w:styleId="16">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unhideWhenUsed/>
    <w:qFormat/>
    <w:uiPriority w:val="39"/>
    <w:pPr>
      <w:tabs>
        <w:tab w:val="right" w:leader="dot" w:pos="8993"/>
      </w:tabs>
    </w:pPr>
  </w:style>
  <w:style w:type="paragraph" w:styleId="18">
    <w:name w:val="Subtitle"/>
    <w:basedOn w:val="1"/>
    <w:next w:val="1"/>
    <w:link w:val="47"/>
    <w:qFormat/>
    <w:uiPriority w:val="0"/>
    <w:pPr>
      <w:spacing w:before="240" w:after="60" w:line="312" w:lineRule="auto"/>
      <w:jc w:val="center"/>
      <w:outlineLvl w:val="1"/>
    </w:pPr>
    <w:rPr>
      <w:rFonts w:ascii="Cambria" w:hAnsi="Cambria"/>
      <w:b/>
      <w:bCs/>
      <w:kern w:val="28"/>
      <w:sz w:val="32"/>
      <w:szCs w:val="32"/>
    </w:rPr>
  </w:style>
  <w:style w:type="paragraph" w:styleId="19">
    <w:name w:val="footnote text"/>
    <w:basedOn w:val="1"/>
    <w:link w:val="51"/>
    <w:unhideWhenUsed/>
    <w:qFormat/>
    <w:uiPriority w:val="99"/>
    <w:pPr>
      <w:snapToGrid w:val="0"/>
      <w:jc w:val="left"/>
    </w:pPr>
    <w:rPr>
      <w:sz w:val="18"/>
      <w:szCs w:val="18"/>
    </w:rPr>
  </w:style>
  <w:style w:type="paragraph" w:styleId="20">
    <w:name w:val="toc 2"/>
    <w:basedOn w:val="1"/>
    <w:next w:val="1"/>
    <w:autoRedefine/>
    <w:unhideWhenUsed/>
    <w:qFormat/>
    <w:uiPriority w:val="39"/>
    <w:pPr>
      <w:ind w:left="420" w:leftChars="200"/>
    </w:pPr>
  </w:style>
  <w:style w:type="paragraph" w:styleId="21">
    <w:name w:val="Normal (Web)"/>
    <w:basedOn w:val="1"/>
    <w:unhideWhenUsed/>
    <w:qFormat/>
    <w:uiPriority w:val="99"/>
    <w:pPr>
      <w:widowControl/>
      <w:spacing w:before="100" w:beforeAutospacing="1" w:after="100" w:afterAutospacing="1"/>
      <w:jc w:val="left"/>
    </w:pPr>
    <w:rPr>
      <w:rFonts w:ascii="宋体" w:hAnsi="宋体" w:cs="宋体"/>
      <w:kern w:val="0"/>
    </w:rPr>
  </w:style>
  <w:style w:type="paragraph" w:styleId="22">
    <w:name w:val="annotation subject"/>
    <w:basedOn w:val="10"/>
    <w:next w:val="10"/>
    <w:link w:val="43"/>
    <w:semiHidden/>
    <w:unhideWhenUsed/>
    <w:qFormat/>
    <w:uiPriority w:val="99"/>
    <w:rPr>
      <w:b/>
      <w:bCs/>
    </w:rPr>
  </w:style>
  <w:style w:type="table" w:styleId="24">
    <w:name w:val="Table Grid"/>
    <w:basedOn w:val="23"/>
    <w:qFormat/>
    <w:uiPriority w:val="5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6">
    <w:name w:val="Strong"/>
    <w:basedOn w:val="25"/>
    <w:qFormat/>
    <w:uiPriority w:val="22"/>
    <w:rPr>
      <w:rFonts w:cs="Times New Roman"/>
      <w:b/>
      <w:bCs/>
    </w:rPr>
  </w:style>
  <w:style w:type="character" w:styleId="27">
    <w:name w:val="Hyperlink"/>
    <w:unhideWhenUsed/>
    <w:qFormat/>
    <w:uiPriority w:val="99"/>
    <w:rPr>
      <w:rFonts w:cs="Times New Roman"/>
      <w:color w:val="0000FF"/>
      <w:u w:val="single"/>
    </w:rPr>
  </w:style>
  <w:style w:type="character" w:styleId="28">
    <w:name w:val="annotation reference"/>
    <w:semiHidden/>
    <w:unhideWhenUsed/>
    <w:qFormat/>
    <w:uiPriority w:val="99"/>
    <w:rPr>
      <w:rFonts w:cs="Times New Roman"/>
      <w:sz w:val="21"/>
      <w:szCs w:val="21"/>
    </w:rPr>
  </w:style>
  <w:style w:type="character" w:customStyle="1" w:styleId="29">
    <w:name w:val="标题 1 字符"/>
    <w:link w:val="2"/>
    <w:qFormat/>
    <w:uiPriority w:val="0"/>
    <w:rPr>
      <w:rFonts w:ascii="Times New Roman" w:hAnsi="Times New Roman" w:eastAsia="宋体" w:cs="Times New Roman"/>
      <w:b/>
      <w:kern w:val="2"/>
      <w:sz w:val="32"/>
      <w:szCs w:val="32"/>
      <w:lang w:val="en-US" w:eastAsia="zh-CN" w:bidi="ar-SA"/>
    </w:rPr>
  </w:style>
  <w:style w:type="character" w:customStyle="1" w:styleId="30">
    <w:name w:val="标题 2 字符"/>
    <w:link w:val="3"/>
    <w:qFormat/>
    <w:uiPriority w:val="0"/>
    <w:rPr>
      <w:rFonts w:ascii="Times New Roman" w:hAnsi="Times New Roman" w:eastAsia="宋体" w:cs="Times New Roman"/>
      <w:b/>
      <w:kern w:val="2"/>
      <w:sz w:val="30"/>
      <w:szCs w:val="30"/>
      <w:lang w:val="en-US" w:eastAsia="zh-CN" w:bidi="ar-SA"/>
    </w:rPr>
  </w:style>
  <w:style w:type="character" w:customStyle="1" w:styleId="31">
    <w:name w:val="标题 3 字符"/>
    <w:basedOn w:val="25"/>
    <w:link w:val="4"/>
    <w:qFormat/>
    <w:uiPriority w:val="0"/>
    <w:rPr>
      <w:rFonts w:ascii="Times New Roman" w:hAnsi="Times New Roman" w:eastAsia="宋体" w:cs="Times New Roman"/>
      <w:b/>
      <w:bCs/>
      <w:sz w:val="32"/>
      <w:szCs w:val="32"/>
    </w:rPr>
  </w:style>
  <w:style w:type="character" w:customStyle="1" w:styleId="32">
    <w:name w:val="标题 4 字符"/>
    <w:basedOn w:val="25"/>
    <w:link w:val="5"/>
    <w:qFormat/>
    <w:uiPriority w:val="0"/>
    <w:rPr>
      <w:rFonts w:ascii="Cambria" w:hAnsi="Cambria" w:eastAsia="宋体" w:cs="Times New Roman"/>
      <w:b/>
      <w:bCs/>
      <w:sz w:val="28"/>
      <w:szCs w:val="28"/>
    </w:rPr>
  </w:style>
  <w:style w:type="character" w:customStyle="1" w:styleId="33">
    <w:name w:val="标题 5 字符"/>
    <w:basedOn w:val="25"/>
    <w:link w:val="6"/>
    <w:qFormat/>
    <w:uiPriority w:val="0"/>
    <w:rPr>
      <w:rFonts w:ascii="Times New Roman" w:hAnsi="Times New Roman" w:eastAsia="宋体" w:cs="Times New Roman"/>
      <w:b/>
      <w:bCs/>
      <w:sz w:val="28"/>
      <w:szCs w:val="28"/>
    </w:rPr>
  </w:style>
  <w:style w:type="character" w:customStyle="1" w:styleId="34">
    <w:name w:val="标题 6 字符"/>
    <w:basedOn w:val="25"/>
    <w:link w:val="7"/>
    <w:qFormat/>
    <w:uiPriority w:val="0"/>
    <w:rPr>
      <w:rFonts w:ascii="Cambria" w:hAnsi="Cambria" w:eastAsia="宋体" w:cs="Times New Roman"/>
      <w:b/>
      <w:bCs/>
      <w:sz w:val="24"/>
      <w:szCs w:val="24"/>
    </w:rPr>
  </w:style>
  <w:style w:type="character" w:customStyle="1" w:styleId="35">
    <w:name w:val="页眉 字符"/>
    <w:basedOn w:val="25"/>
    <w:link w:val="16"/>
    <w:qFormat/>
    <w:uiPriority w:val="99"/>
    <w:rPr>
      <w:sz w:val="18"/>
      <w:szCs w:val="18"/>
    </w:rPr>
  </w:style>
  <w:style w:type="character" w:customStyle="1" w:styleId="36">
    <w:name w:val="页脚 字符"/>
    <w:basedOn w:val="25"/>
    <w:link w:val="15"/>
    <w:qFormat/>
    <w:uiPriority w:val="99"/>
    <w:rPr>
      <w:sz w:val="18"/>
      <w:szCs w:val="18"/>
    </w:rPr>
  </w:style>
  <w:style w:type="character" w:customStyle="1" w:styleId="37">
    <w:name w:val="文档结构图 字符"/>
    <w:basedOn w:val="25"/>
    <w:link w:val="9"/>
    <w:semiHidden/>
    <w:qFormat/>
    <w:uiPriority w:val="99"/>
    <w:rPr>
      <w:rFonts w:ascii="宋体" w:hAnsi="Times New Roman" w:eastAsia="宋体" w:cs="Times New Roman"/>
      <w:sz w:val="18"/>
      <w:szCs w:val="18"/>
    </w:rPr>
  </w:style>
  <w:style w:type="character" w:customStyle="1" w:styleId="38">
    <w:name w:val="日期 字符"/>
    <w:basedOn w:val="25"/>
    <w:link w:val="13"/>
    <w:semiHidden/>
    <w:qFormat/>
    <w:uiPriority w:val="99"/>
    <w:rPr>
      <w:rFonts w:ascii="Times New Roman" w:hAnsi="Times New Roman" w:eastAsia="宋体" w:cs="Times New Roman"/>
      <w:sz w:val="24"/>
      <w:szCs w:val="24"/>
    </w:rPr>
  </w:style>
  <w:style w:type="character" w:customStyle="1" w:styleId="39">
    <w:name w:val="批注框文本 字符"/>
    <w:basedOn w:val="25"/>
    <w:link w:val="14"/>
    <w:semiHidden/>
    <w:qFormat/>
    <w:uiPriority w:val="99"/>
    <w:rPr>
      <w:rFonts w:ascii="Times New Roman" w:hAnsi="Times New Roman" w:eastAsia="宋体" w:cs="Times New Roman"/>
      <w:sz w:val="18"/>
      <w:szCs w:val="18"/>
    </w:rPr>
  </w:style>
  <w:style w:type="paragraph" w:customStyle="1" w:styleId="40">
    <w:name w:val="列出段落1"/>
    <w:basedOn w:val="1"/>
    <w:qFormat/>
    <w:uiPriority w:val="34"/>
    <w:pPr>
      <w:ind w:firstLine="420" w:firstLineChars="200"/>
    </w:pPr>
  </w:style>
  <w:style w:type="paragraph" w:customStyle="1" w:styleId="41">
    <w:name w:val="正文1"/>
    <w:basedOn w:val="1"/>
    <w:qFormat/>
    <w:uiPriority w:val="99"/>
    <w:pPr>
      <w:jc w:val="left"/>
      <w:outlineLvl w:val="0"/>
    </w:pPr>
    <w:rPr>
      <w:rFonts w:ascii="宋体" w:hAnsi="宋体" w:cs="宋体"/>
    </w:rPr>
  </w:style>
  <w:style w:type="character" w:customStyle="1" w:styleId="42">
    <w:name w:val="批注文字 字符"/>
    <w:basedOn w:val="25"/>
    <w:link w:val="10"/>
    <w:qFormat/>
    <w:uiPriority w:val="99"/>
    <w:rPr>
      <w:rFonts w:ascii="Times New Roman" w:hAnsi="Times New Roman" w:eastAsia="宋体" w:cs="Times New Roman"/>
      <w:sz w:val="24"/>
      <w:szCs w:val="24"/>
    </w:rPr>
  </w:style>
  <w:style w:type="character" w:customStyle="1" w:styleId="43">
    <w:name w:val="批注主题 字符"/>
    <w:basedOn w:val="42"/>
    <w:link w:val="22"/>
    <w:semiHidden/>
    <w:qFormat/>
    <w:uiPriority w:val="99"/>
    <w:rPr>
      <w:rFonts w:ascii="Times New Roman" w:hAnsi="Times New Roman" w:eastAsia="宋体" w:cs="Times New Roman"/>
      <w:b/>
      <w:bCs/>
      <w:sz w:val="24"/>
      <w:szCs w:val="24"/>
    </w:rPr>
  </w:style>
  <w:style w:type="character" w:customStyle="1" w:styleId="44">
    <w:name w:val="条文说明 Char"/>
    <w:link w:val="45"/>
    <w:qFormat/>
    <w:locked/>
    <w:uiPriority w:val="0"/>
    <w:rPr>
      <w:rFonts w:ascii="Times New Roman" w:hAnsi="Times New Roman" w:eastAsia="Times New Roman"/>
      <w:sz w:val="24"/>
      <w:szCs w:val="30"/>
    </w:rPr>
  </w:style>
  <w:style w:type="paragraph" w:customStyle="1" w:styleId="45">
    <w:name w:val="条文说明"/>
    <w:link w:val="44"/>
    <w:qFormat/>
    <w:uiPriority w:val="0"/>
    <w:pPr>
      <w:spacing w:line="360" w:lineRule="auto"/>
      <w:jc w:val="both"/>
    </w:pPr>
    <w:rPr>
      <w:rFonts w:ascii="Times New Roman" w:hAnsi="Times New Roman" w:eastAsia="Times New Roman" w:cstheme="minorBidi"/>
      <w:kern w:val="2"/>
      <w:sz w:val="24"/>
      <w:szCs w:val="30"/>
      <w:lang w:val="en-US" w:eastAsia="zh-CN" w:bidi="ar-SA"/>
    </w:rPr>
  </w:style>
  <w:style w:type="paragraph" w:styleId="46">
    <w:name w:val="List Paragraph"/>
    <w:basedOn w:val="1"/>
    <w:qFormat/>
    <w:uiPriority w:val="34"/>
    <w:pPr>
      <w:ind w:firstLine="420" w:firstLineChars="200"/>
    </w:pPr>
    <w:rPr>
      <w:rFonts w:ascii="Calibri" w:hAnsi="Calibri"/>
      <w:szCs w:val="22"/>
    </w:rPr>
  </w:style>
  <w:style w:type="character" w:customStyle="1" w:styleId="47">
    <w:name w:val="副标题 字符"/>
    <w:basedOn w:val="25"/>
    <w:link w:val="18"/>
    <w:qFormat/>
    <w:uiPriority w:val="0"/>
    <w:rPr>
      <w:rFonts w:ascii="Cambria" w:hAnsi="Cambria" w:eastAsia="宋体" w:cs="Times New Roman"/>
      <w:b/>
      <w:bCs/>
      <w:kern w:val="28"/>
      <w:sz w:val="32"/>
      <w:szCs w:val="32"/>
    </w:rPr>
  </w:style>
  <w:style w:type="paragraph" w:customStyle="1" w:styleId="48">
    <w:name w:val="硕论-正文"/>
    <w:basedOn w:val="1"/>
    <w:autoRedefine/>
    <w:qFormat/>
    <w:uiPriority w:val="0"/>
    <w:pPr>
      <w:spacing w:line="300" w:lineRule="auto"/>
    </w:pPr>
    <w:rPr>
      <w:rFonts w:ascii="宋体" w:hAnsi="宋体" w:cs="宋体"/>
      <w:szCs w:val="20"/>
    </w:rPr>
  </w:style>
  <w:style w:type="paragraph" w:customStyle="1" w:styleId="49">
    <w:name w:val="TOC Heading"/>
    <w:basedOn w:val="2"/>
    <w:next w:val="1"/>
    <w:qFormat/>
    <w:uiPriority w:val="39"/>
    <w:pPr>
      <w:keepNext/>
      <w:keepLines/>
      <w:widowControl w:val="0"/>
      <w:spacing w:beforeLines="0" w:afterLines="0" w:line="578" w:lineRule="auto"/>
      <w:jc w:val="both"/>
      <w:outlineLvl w:val="9"/>
    </w:pPr>
    <w:rPr>
      <w:rFonts w:ascii="Times New Roman" w:hAnsi="Times New Roman" w:eastAsia="宋体"/>
      <w:bCs/>
      <w:kern w:val="44"/>
      <w:sz w:val="44"/>
      <w:szCs w:val="44"/>
    </w:rPr>
  </w:style>
  <w:style w:type="paragraph" w:customStyle="1" w:styleId="50">
    <w:name w:val="标题2"/>
    <w:basedOn w:val="1"/>
    <w:qFormat/>
    <w:uiPriority w:val="0"/>
    <w:pPr>
      <w:numPr>
        <w:ilvl w:val="0"/>
        <w:numId w:val="1"/>
      </w:numPr>
    </w:pPr>
    <w:rPr>
      <w:b/>
    </w:rPr>
  </w:style>
  <w:style w:type="character" w:customStyle="1" w:styleId="51">
    <w:name w:val="脚注文本 字符"/>
    <w:basedOn w:val="25"/>
    <w:link w:val="19"/>
    <w:qFormat/>
    <w:uiPriority w:val="99"/>
    <w:rPr>
      <w:rFonts w:ascii="Times New Roman" w:hAnsi="Times New Roman" w:eastAsia="宋体" w:cs="Times New Roman"/>
      <w:sz w:val="18"/>
      <w:szCs w:val="18"/>
    </w:rPr>
  </w:style>
  <w:style w:type="character" w:customStyle="1" w:styleId="52">
    <w:name w:val="con-all"/>
    <w:basedOn w:val="25"/>
    <w:qFormat/>
    <w:uiPriority w:val="0"/>
  </w:style>
  <w:style w:type="paragraph" w:styleId="53">
    <w:name w:val="No Spacing"/>
    <w:basedOn w:val="1"/>
    <w:qFormat/>
    <w:uiPriority w:val="1"/>
    <w:pPr>
      <w:ind w:firstLine="200" w:firstLineChars="200"/>
    </w:pPr>
    <w:rPr>
      <w:szCs w:val="22"/>
    </w:rPr>
  </w:style>
  <w:style w:type="paragraph" w:customStyle="1" w:styleId="54">
    <w:name w:val="Default"/>
    <w:qFormat/>
    <w:uiPriority w:val="0"/>
    <w:pPr>
      <w:widowControl w:val="0"/>
      <w:autoSpaceDE w:val="0"/>
      <w:autoSpaceDN w:val="0"/>
      <w:adjustRightInd w:val="0"/>
    </w:pPr>
    <w:rPr>
      <w:rFonts w:ascii="宋体" w:hAnsi="Calibri" w:eastAsia="宋体" w:cs="宋体"/>
      <w:color w:val="000000"/>
      <w:kern w:val="0"/>
      <w:sz w:val="24"/>
      <w:szCs w:val="24"/>
      <w:lang w:val="en-US" w:eastAsia="zh-CN" w:bidi="ar-SA"/>
    </w:rPr>
  </w:style>
  <w:style w:type="paragraph" w:customStyle="1" w:styleId="55">
    <w:name w:val="tgt"/>
    <w:basedOn w:val="1"/>
    <w:qFormat/>
    <w:uiPriority w:val="0"/>
    <w:pPr>
      <w:widowControl/>
      <w:spacing w:before="100" w:beforeAutospacing="1" w:after="100" w:afterAutospacing="1" w:line="240" w:lineRule="auto"/>
      <w:jc w:val="left"/>
    </w:pPr>
    <w:rPr>
      <w:rFonts w:ascii="宋体" w:hAnsi="宋体" w:cs="宋体"/>
      <w:kern w:val="0"/>
    </w:rPr>
  </w:style>
  <w:style w:type="paragraph" w:customStyle="1" w:styleId="56">
    <w:name w:val="一般条文"/>
    <w:basedOn w:val="1"/>
    <w:qFormat/>
    <w:uiPriority w:val="0"/>
    <w:rPr>
      <w:szCs w:val="21"/>
    </w:rPr>
  </w:style>
  <w:style w:type="paragraph" w:customStyle="1" w:styleId="57">
    <w:name w:val="表格文字"/>
    <w:basedOn w:val="1"/>
    <w:qFormat/>
    <w:uiPriority w:val="0"/>
    <w:pPr>
      <w:spacing w:line="240" w:lineRule="auto"/>
      <w:jc w:val="center"/>
    </w:pPr>
    <w:rPr>
      <w:rFonts w:eastAsiaTheme="minorEastAsia"/>
      <w:kern w:val="0"/>
      <w:sz w:val="21"/>
      <w:szCs w:val="21"/>
    </w:rPr>
  </w:style>
  <w:style w:type="paragraph" w:customStyle="1" w:styleId="58">
    <w:name w:val="图片"/>
    <w:basedOn w:val="1"/>
    <w:qFormat/>
    <w:uiPriority w:val="0"/>
    <w:pPr>
      <w:jc w:val="center"/>
    </w:pPr>
    <w:rPr>
      <w:rFonts w:hint="eastAsia"/>
      <w:lang w:eastAsia="zh"/>
    </w:rPr>
  </w:style>
  <w:style w:type="paragraph" w:customStyle="1" w:styleId="59">
    <w:name w:val="方案正文"/>
    <w:basedOn w:val="11"/>
    <w:qFormat/>
    <w:uiPriority w:val="0"/>
    <w:pPr>
      <w:spacing w:after="0" w:line="360" w:lineRule="auto"/>
      <w:ind w:firstLine="480" w:firstLineChars="200"/>
      <w:jc w:val="both"/>
    </w:pPr>
    <w:rPr>
      <w:rFonts w:ascii="Times New Roman" w:hAnsi="Times New Roman" w:eastAsia="仿宋" w:cs="Times New Roman"/>
      <w:bCs/>
      <w:kern w:val="2"/>
      <w:sz w:val="24"/>
      <w:szCs w:val="24"/>
      <w:lang w:val="en-US" w:eastAsia="zh-CN" w:bidi="ar-SA"/>
      <w14:ligatures w14:val="none"/>
    </w:rPr>
  </w:style>
  <w:style w:type="paragraph" w:customStyle="1" w:styleId="60">
    <w:name w:val="表格"/>
    <w:next w:val="1"/>
    <w:qFormat/>
    <w:uiPriority w:val="0"/>
    <w:pPr>
      <w:jc w:val="center"/>
      <w:textAlignment w:val="center"/>
    </w:pPr>
    <w:rPr>
      <w:rFonts w:ascii="Times New Roman" w:hAnsi="Times New Roman" w:eastAsia="仿宋" w:cs="Times New Roman"/>
      <w:sz w:val="21"/>
      <w:lang w:val="en-US" w:eastAsia="en-US" w:bidi="ar-SA"/>
    </w:rPr>
  </w:style>
  <w:style w:type="paragraph" w:customStyle="1" w:styleId="61">
    <w:name w:val="图"/>
    <w:basedOn w:val="1"/>
    <w:next w:val="1"/>
    <w:qFormat/>
    <w:uiPriority w:val="0"/>
    <w:pPr>
      <w:widowControl/>
      <w:spacing w:line="240" w:lineRule="auto"/>
      <w:ind w:firstLine="0" w:firstLineChars="0"/>
      <w:jc w:val="center"/>
    </w:pPr>
    <w:rPr>
      <w:rFonts w:eastAsia="宋体"/>
      <w:sz w:val="22"/>
    </w:rPr>
  </w:style>
  <w:style w:type="paragraph" w:customStyle="1" w:styleId="62">
    <w:name w:val="标题0"/>
    <w:next w:val="1"/>
    <w:qFormat/>
    <w:uiPriority w:val="0"/>
    <w:pPr>
      <w:spacing w:after="160"/>
      <w:jc w:val="center"/>
    </w:pPr>
    <w:rPr>
      <w:rFonts w:ascii="Times New Roman" w:hAnsi="Times New Roman" w:eastAsia="仿宋" w:cs="Times New Roman"/>
      <w:b/>
      <w:sz w:val="32"/>
      <w:szCs w:val="36"/>
      <w:lang w:val="en-US" w:eastAsia="zh-CN" w:bidi="ar-SA"/>
    </w:rPr>
  </w:style>
  <w:style w:type="character" w:customStyle="1" w:styleId="63">
    <w:name w:val="font51"/>
    <w:basedOn w:val="25"/>
    <w:qFormat/>
    <w:uiPriority w:val="0"/>
    <w:rPr>
      <w:rFonts w:hint="default" w:ascii="Times New Roman" w:hAnsi="Times New Roman" w:eastAsia="Times New Roman" w:cs="Times New Roman"/>
      <w:b/>
      <w:bCs/>
      <w:color w:val="333333"/>
      <w:sz w:val="24"/>
      <w:szCs w:val="24"/>
      <w:u w:val="none"/>
    </w:rPr>
  </w:style>
  <w:style w:type="paragraph" w:customStyle="1" w:styleId="64">
    <w:name w:val="表格居中"/>
    <w:basedOn w:val="65"/>
    <w:qFormat/>
    <w:uiPriority w:val="0"/>
    <w:pPr>
      <w:widowControl w:val="0"/>
      <w:jc w:val="center"/>
    </w:pPr>
    <w:rPr>
      <w:rFonts w:ascii="Times New Roman" w:hAnsi="Times New Roman" w:eastAsia="仿宋_GB2312" w:cs="PMingLiU-ExtB"/>
      <w:kern w:val="2"/>
      <w:sz w:val="18"/>
      <w:szCs w:val="21"/>
      <w:lang w:val="en-US" w:eastAsia="zh-CN" w:bidi="ar-SA"/>
    </w:rPr>
  </w:style>
  <w:style w:type="paragraph" w:customStyle="1" w:styleId="65">
    <w:name w:val="插图"/>
    <w:basedOn w:val="59"/>
    <w:qFormat/>
    <w:uiPriority w:val="0"/>
    <w:pPr>
      <w:jc w:val="both"/>
    </w:pPr>
    <w:rPr>
      <w:szCs w:val="24"/>
    </w:rPr>
  </w:style>
  <w:style w:type="table" w:customStyle="1" w:styleId="66">
    <w:name w:val="Table Normal"/>
    <w:unhideWhenUsed/>
    <w:qFormat/>
    <w:uiPriority w:val="0"/>
    <w:tblPr>
      <w:tblCellMar>
        <w:top w:w="0" w:type="dxa"/>
        <w:left w:w="0" w:type="dxa"/>
        <w:bottom w:w="0" w:type="dxa"/>
        <w:right w:w="0" w:type="dxa"/>
      </w:tblCellMar>
    </w:tblPr>
  </w:style>
  <w:style w:type="paragraph" w:customStyle="1" w:styleId="67">
    <w:name w:val="Table Paragraph"/>
    <w:basedOn w:val="1"/>
    <w:qFormat/>
    <w:uiPriority w:val="1"/>
    <w:pPr>
      <w:autoSpaceDE w:val="0"/>
      <w:autoSpaceDN w:val="0"/>
      <w:spacing w:line="240" w:lineRule="auto"/>
      <w:jc w:val="left"/>
    </w:pPr>
    <w:rPr>
      <w:rFonts w:ascii="宋体" w:hAnsi="宋体" w:cs="宋体"/>
      <w:kern w:val="0"/>
      <w:sz w:val="22"/>
      <w:szCs w:val="22"/>
    </w:rPr>
  </w:style>
  <w:style w:type="paragraph" w:customStyle="1" w:styleId="68">
    <w:name w:val="Table Text"/>
    <w:basedOn w:val="1"/>
    <w:semiHidden/>
    <w:qFormat/>
    <w:uiPriority w:val="0"/>
    <w:rPr>
      <w:rFonts w:ascii="宋体" w:hAnsi="宋体" w:eastAsia="宋体" w:cs="宋体"/>
      <w:sz w:val="23"/>
      <w:szCs w:val="23"/>
      <w:lang w:val="en-US" w:eastAsia="en-US" w:bidi="ar-SA"/>
    </w:rPr>
  </w:style>
  <w:style w:type="paragraph" w:customStyle="1" w:styleId="69">
    <w:name w:val="表格左对齐"/>
    <w:basedOn w:val="64"/>
    <w:autoRedefine/>
    <w:qFormat/>
    <w:uiPriority w:val="0"/>
    <w:pPr>
      <w:jc w:val="left"/>
    </w:pPr>
  </w:style>
  <w:style w:type="character" w:customStyle="1" w:styleId="70">
    <w:name w:val="font41"/>
    <w:basedOn w:val="25"/>
    <w:qFormat/>
    <w:uiPriority w:val="0"/>
    <w:rPr>
      <w:rFonts w:hint="eastAsia" w:ascii="宋体" w:hAnsi="宋体" w:eastAsia="宋体" w:cs="宋体"/>
      <w:color w:val="0F1115"/>
      <w:sz w:val="24"/>
      <w:szCs w:val="24"/>
      <w:u w:val="none"/>
    </w:rPr>
  </w:style>
  <w:style w:type="paragraph" w:customStyle="1" w:styleId="71">
    <w:name w:val="TG-表格居中"/>
    <w:autoRedefine/>
    <w:qFormat/>
    <w:uiPriority w:val="0"/>
    <w:pPr>
      <w:adjustRightInd w:val="0"/>
      <w:snapToGrid w:val="0"/>
      <w:jc w:val="center"/>
    </w:pPr>
    <w:rPr>
      <w:rFonts w:ascii="Times New Roman" w:hAnsi="Times New Roman" w:eastAsia="宋体" w:cs="Times New Roman"/>
      <w:sz w:val="21"/>
      <w:lang w:val="en-US" w:eastAsia="zh-CN" w:bidi="ar-SA"/>
    </w:rPr>
  </w:style>
  <w:style w:type="paragraph" w:customStyle="1" w:styleId="72">
    <w:name w:val="标准文件_附录标识"/>
    <w:next w:val="73"/>
    <w:qFormat/>
    <w:uiPriority w:val="0"/>
    <w:pPr>
      <w:numPr>
        <w:ilvl w:val="0"/>
        <w:numId w:val="2"/>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3">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4">
    <w:name w:val="标准文件_标准正文"/>
    <w:basedOn w:val="1"/>
    <w:next w:val="73"/>
    <w:qFormat/>
    <w:uiPriority w:val="0"/>
    <w:pPr>
      <w:snapToGrid w:val="0"/>
      <w:ind w:firstLine="200" w:firstLineChars="200"/>
    </w:pPr>
    <w:rPr>
      <w:kern w:val="0"/>
    </w:rPr>
  </w:style>
  <w:style w:type="paragraph" w:customStyle="1" w:styleId="75">
    <w:name w:val="标准文件_附录表标题"/>
    <w:next w:val="73"/>
    <w:qFormat/>
    <w:uiPriority w:val="0"/>
    <w:pPr>
      <w:numPr>
        <w:ilvl w:val="1"/>
        <w:numId w:val="3"/>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76">
    <w:name w:val="标准文件_表格"/>
    <w:basedOn w:val="73"/>
    <w:qFormat/>
    <w:uiPriority w:val="0"/>
    <w:pPr>
      <w:ind w:firstLine="0" w:firstLineChars="0"/>
      <w:jc w:val="center"/>
    </w:pPr>
    <w:rPr>
      <w:sz w:val="18"/>
    </w:rPr>
  </w:style>
  <w:style w:type="paragraph" w:customStyle="1" w:styleId="77">
    <w:name w:val="标准文件_二级无标题"/>
    <w:basedOn w:val="78"/>
    <w:qFormat/>
    <w:uiPriority w:val="0"/>
    <w:pPr>
      <w:spacing w:before="0" w:beforeLines="0" w:after="0" w:afterLines="0"/>
      <w:ind w:left="3261"/>
      <w:outlineLvl w:val="9"/>
    </w:pPr>
    <w:rPr>
      <w:rFonts w:ascii="宋体" w:eastAsia="宋体"/>
    </w:rPr>
  </w:style>
  <w:style w:type="paragraph" w:customStyle="1" w:styleId="78">
    <w:name w:val="标准文件_二级条标题"/>
    <w:next w:val="73"/>
    <w:qFormat/>
    <w:uiPriority w:val="0"/>
    <w:pPr>
      <w:widowControl w:val="0"/>
      <w:numPr>
        <w:ilvl w:val="3"/>
        <w:numId w:val="4"/>
      </w:numPr>
      <w:spacing w:before="50" w:beforeLines="50" w:after="50" w:afterLines="50"/>
      <w:ind w:left="1560"/>
      <w:jc w:val="both"/>
      <w:outlineLvl w:val="2"/>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117fc938-810c-4cf3-97eb-522a6614f3c3</errorID>
      <errorWord>支承</errorWord>
      <group>L1_Word</group>
      <groupName>字词问题</groupName>
      <ability>L2_Typo</ability>
      <abilityName>字词错误</abilityName>
      <candidateList>
        <item>支撑</item>
      </candidateList>
      <explain/>
      <paraID>5BB24A58</paraID>
      <start>7</start>
      <end>9</end>
      <status>unmodified</status>
      <modifiedWord/>
      <trackRevisions>false</trackRevisions>
    </reviewItem>
    <reviewItem>
      <errorID>8e75cf63-e2ce-460b-bc14-7019cae5542d</errorID>
      <errorWord>支承</errorWord>
      <group>L1_Word</group>
      <groupName>字词问题</groupName>
      <ability>L2_Typo</ability>
      <abilityName>字词错误</abilityName>
      <candidateList>
        <item>支撑</item>
      </candidateList>
      <explain/>
      <paraID>1BFEE88A</paraID>
      <start>28</start>
      <end>30</end>
      <status>unmodified</status>
      <modifiedWord/>
      <trackRevisions>false</trackRevisions>
    </reviewItem>
    <reviewItem>
      <errorID>c992a5b8-d608-4319-b293-bf6e5c27ec9c</errorID>
      <errorWord>等的</errorWord>
      <group>L1_Word</group>
      <groupName>字词问题</groupName>
      <ability>L2_Typo</ability>
      <abilityName>字词错误</abilityName>
      <candidateList>
        <item>等</item>
      </candidateList>
      <explain/>
      <paraID>29A92AFE</paraID>
      <start>24</start>
      <end>25</end>
      <status>modified</status>
      <modifiedWord>等</modifiedWord>
      <trackRevisions>false</trackRevisions>
    </reviewItem>
    <reviewItem>
      <errorID>798c3682-6524-4db1-a7a4-df6f55d0ec48</errorID>
      <errorWord>)</errorWord>
      <group>L1_Format</group>
      <groupName>格式问题</groupName>
      <ability>L2_HalfPunc_CN</ability>
      <abilityName>全半角问题</abilityName>
      <candidateList>
        <item>）</item>
      </candidateList>
      <explain>文本全半角错误。</explain>
      <paraID> CBE511F</paraID>
      <start>30</start>
      <end>31</end>
      <status>modified</status>
      <modifiedWord>）</modifiedWord>
      <trackRevisions>false</trackRevisions>
    </reviewItem>
    <reviewItem>
      <errorID>52f93aa5-f1b5-4b3c-b1dd-982efd27062c</errorID>
      <errorWord>)</errorWord>
      <group>L1_Format</group>
      <groupName>格式问题</groupName>
      <ability>L2_HalfPunc_CN</ability>
      <abilityName>全半角问题</abilityName>
      <candidateList>
        <item>）</item>
      </candidateList>
      <explain>文本全半角错误。</explain>
      <paraID>5886C161</paraID>
      <start>158</start>
      <end>159</end>
      <status>unmodified</status>
      <modifiedWord/>
      <trackRevisions>false</trackRevisions>
    </reviewItem>
    <reviewItem>
      <errorID>94d423a0-efe0-4701-b594-fd81f2a26921</errorID>
      <errorWord>搭建的</errorWord>
      <group>L1_Word</group>
      <groupName>字词问题</groupName>
      <ability>L2_Typo</ability>
      <abilityName>字词错误</abilityName>
      <candidateList>
        <item>搭建</item>
      </candidateList>
      <explain/>
      <paraID>5886C161</paraID>
      <start>189</start>
      <end>192</end>
      <status>unmodified</status>
      <modifiedWord/>
      <trackRevisions>false</trackRevisions>
    </reviewItem>
    <reviewItem>
      <errorID>c41668fa-bc98-4421-bc57-df90aea4f3cd</errorID>
      <errorWord>)</errorWord>
      <group>L1_Format</group>
      <groupName>格式问题</groupName>
      <ability>L2_HalfPunc_CN</ability>
      <abilityName>全半角问题</abilityName>
      <candidateList>
        <item>）</item>
      </candidateList>
      <explain>文本全半角错误。</explain>
      <paraID>187CD424</paraID>
      <start>43</start>
      <end>44</end>
      <status>modified</status>
      <modifiedWord>）</modifiedWord>
      <trackRevisions>false</trackRevisions>
    </reviewItem>
    <reviewItem>
      <errorID>9deb55f2-1970-4c10-b660-b4f79b5e6c8c</errorID>
      <errorWord>支承</errorWord>
      <group>L1_Word</group>
      <groupName>字词问题</groupName>
      <ability>L2_Typo</ability>
      <abilityName>字词错误</abilityName>
      <candidateList>
        <item>支撑</item>
      </candidateList>
      <explain>存在发音相同字词的误用。</explain>
      <paraID>5DA529E5</paraID>
      <start>4</start>
      <end>6</end>
      <status>unmodified</status>
      <modifiedWord/>
      <trackRevisions>false</trackRevisions>
    </reviewItem>
    <reviewItem>
      <errorID>0a451179-1559-4a03-afa7-6c4e8d246cc9</errorID>
      <errorWord>支承</errorWord>
      <group>L1_Word</group>
      <groupName>字词问题</groupName>
      <ability>L2_Typo</ability>
      <abilityName>字词错误</abilityName>
      <candidateList>
        <item>支撑</item>
      </candidateList>
      <explain/>
      <paraID>5BD3D3C1</paraID>
      <start>5</start>
      <end>7</end>
      <status>unmodified</status>
      <modifiedWord/>
      <trackRevisions>false</trackRevisions>
    </reviewItem>
    <reviewItem>
      <errorID>90aa5fe0-3d56-4b26-9eb4-68b83bef07d0</errorID>
      <errorWord>支承</errorWord>
      <group>L1_Word</group>
      <groupName>字词问题</groupName>
      <ability>L2_Typo</ability>
      <abilityName>字词错误</abilityName>
      <candidateList>
        <item>支撑</item>
      </candidateList>
      <explain/>
      <paraID> AB7490A</paraID>
      <start>5</start>
      <end>7</end>
      <status>unmodified</status>
      <modifiedWord/>
      <trackRevisions>false</trackRevisions>
    </reviewItem>
    <reviewItem>
      <errorID>6e5770f6-42c2-4789-b6b3-57307b8da77b</errorID>
      <errorWord>支承架</errorWord>
      <group>L1_Word</group>
      <groupName>字词问题</groupName>
      <ability>L2_Typo</ability>
      <abilityName>字词错误</abilityName>
      <candidateList>
        <item>支撑架</item>
      </candidateList>
      <explain/>
      <paraID>77D10AA9</paraID>
      <start>23</start>
      <end>26</end>
      <status>unmodified</status>
      <modifiedWord/>
      <trackRevisions>false</trackRevisions>
    </reviewItem>
    <reviewItem>
      <errorID>d54b7902-d49c-464c-aa44-e7d0c335ae4c</errorID>
      <errorWord>支承</errorWord>
      <group>L1_Word</group>
      <groupName>字词问题</groupName>
      <ability>L2_Typo</ability>
      <abilityName>字词错误</abilityName>
      <candidateList>
        <item>支撑</item>
      </candidateList>
      <explain>存在发音相同字词的误用。</explain>
      <paraID>7DA6568D</paraID>
      <start>9</start>
      <end>11</end>
      <status>unmodified</status>
      <modifiedWord/>
      <trackRevisions>false</trackRevisions>
    </reviewItem>
    <reviewItem>
      <errorID>3f6d02d9-22f5-4c92-a436-bac66222d362</errorID>
      <errorWord>支承</errorWord>
      <group>L1_Word</group>
      <groupName>字词问题</groupName>
      <ability>L2_Typo</ability>
      <abilityName>字词错误</abilityName>
      <candidateList>
        <item>支撑</item>
      </candidateList>
      <explain/>
      <paraID>166B74BD</paraID>
      <start>12</start>
      <end>14</end>
      <status>unmodified</status>
      <modifiedWord/>
      <trackRevisions>false</trackRevisions>
    </reviewItem>
    <reviewItem>
      <errorID>f2771ebe-df2e-4d82-9ea2-0f2edddf4e2a</errorID>
      <errorWord>;</errorWord>
      <group>L1_Format</group>
      <groupName>格式问题</groupName>
      <ability>L2_HalfPunc_CN</ability>
      <abilityName>全半角问题</abilityName>
      <candidateList>
        <item>；</item>
      </candidateList>
      <explain>文本全半角错误。</explain>
      <paraID> CDC1F3B</paraID>
      <start>25</start>
      <end>26</end>
      <status>modified</status>
      <modifiedWord>；</modifiedWord>
      <trackRevisions>false</trackRevisions>
    </reviewItem>
    <reviewItem>
      <errorID>f9cc9761-474f-4e8a-b7df-fbc4a10f3f42</errorID>
      <errorWord>泄露</errorWord>
      <group>L1_Word</group>
      <groupName>字词问题</groupName>
      <ability>L2_Typo</ability>
      <abilityName>字词错误</abilityName>
      <candidateList>
        <item>泄漏</item>
      </candidateList>
      <explain/>
      <paraID>550521D6</paraID>
      <start>20</start>
      <end>22</end>
      <status>unmodified</status>
      <modifiedWord/>
      <trackRevisions>false</trackRevisions>
    </reviewItem>
    <reviewItem>
      <errorID>8e2dc1f4-a582-45a4-95d0-2cb910a633e4</errorID>
      <errorWord>:</errorWord>
      <group>L1_Format</group>
      <groupName>格式问题</groupName>
      <ability>L2_HalfPunc_CN</ability>
      <abilityName>全半角问题</abilityName>
      <candidateList>
        <item>：</item>
      </candidateList>
      <explain>文本全半角错误。</explain>
      <paraID>34B46A9D</paraID>
      <start>25</start>
      <end>26</end>
      <status>modified</status>
      <modifiedWord>：</modifiedWord>
      <trackRevisions>false</trackRevisions>
    </reviewItem>
    <reviewItem>
      <errorID>6319eb77-6d03-4b7f-82d4-7fddf1173edc</errorID>
      <errorWord>;</errorWord>
      <group>L1_Format</group>
      <groupName>格式问题</groupName>
      <ability>L2_HalfPunc_CN</ability>
      <abilityName>全半角问题</abilityName>
      <candidateList>
        <item>；</item>
      </candidateList>
      <explain>文本全半角错误。</explain>
      <paraID>70A4DD13</paraID>
      <start>31</start>
      <end>32</end>
      <status>modified</status>
      <modifiedWord>；</modifiedWord>
      <trackRevisions>false</trackRevisions>
    </reviewItem>
    <reviewItem>
      <errorID>5875ef51-c048-4e9f-be6f-56bbe9c0c758</errorID>
      <errorWord>;</errorWord>
      <group>L1_Format</group>
      <groupName>格式问题</groupName>
      <ability>L2_HalfPunc_CN</ability>
      <abilityName>全半角问题</abilityName>
      <candidateList>
        <item>；</item>
      </candidateList>
      <explain>文本全半角错误。</explain>
      <paraID> C95500E</paraID>
      <start>28</start>
      <end>29</end>
      <status>modified</status>
      <modifiedWord>；</modifiedWord>
      <trackRevisions>false</trackRevisions>
    </reviewItem>
    <reviewItem>
      <errorID>cc7f281e-f219-4321-a3b4-d8f2ab89b0b1</errorID>
      <errorWord>:</errorWord>
      <group>L1_Format</group>
      <groupName>格式问题</groupName>
      <ability>L2_HalfPunc_CN</ability>
      <abilityName>全半角问题</abilityName>
      <candidateList>
        <item>：</item>
      </candidateList>
      <explain>文本全半角错误。</explain>
      <paraID>2C34AD79</paraID>
      <start>25</start>
      <end>26</end>
      <status>modified</status>
      <modifiedWord>：</modifiedWord>
      <trackRevisions>false</trackRevisions>
    </reviewItem>
    <reviewItem>
      <errorID>9fa49c9b-786d-40ee-b467-76fabcc6ae19</errorID>
      <errorWord>:</errorWord>
      <group>L1_Format</group>
      <groupName>格式问题</groupName>
      <ability>L2_HalfPunc_CN</ability>
      <abilityName>全半角问题</abilityName>
      <candidateList>
        <item>：</item>
      </candidateList>
      <explain>文本全半角错误。</explain>
      <paraID>60AB91D4</paraID>
      <start>29</start>
      <end>30</end>
      <status>modified</status>
      <modifiedWord>：</modifiedWord>
      <trackRevisions>false</trackRevisions>
    </reviewItem>
    <reviewItem>
      <errorID>b75bc0d7-0d10-4f72-8a2c-c5109f7f4432</errorID>
      <errorWord>:</errorWord>
      <group>L1_Format</group>
      <groupName>格式问题</groupName>
      <ability>L2_HalfPunc_CN</ability>
      <abilityName>全半角问题</abilityName>
      <candidateList>
        <item>：</item>
      </candidateList>
      <explain>文本全半角错误。</explain>
      <paraID>2A870606</paraID>
      <start>57</start>
      <end>58</end>
      <status>modified</status>
      <modifiedWord>：</modifiedWord>
      <trackRevisions>false</trackRevisions>
    </reviewItem>
    <reviewItem>
      <errorID>628871fb-b1ec-4485-9851-44fda10f9734</errorID>
      <errorWord>支承</errorWord>
      <group>L1_Word</group>
      <groupName>字词问题</groupName>
      <ability>L2_Typo</ability>
      <abilityName>字词错误</abilityName>
      <candidateList>
        <item>支撑</item>
      </candidateList>
      <explain>存在发音相同字词的误用。</explain>
      <paraID> 49AC189</paraID>
      <start>16</start>
      <end>18</end>
      <status>unmodified</status>
      <modifiedWord/>
      <trackRevisions>false</trackRevisions>
    </reviewItem>
    <reviewItem>
      <errorID>b91aed84-c5ac-4187-aca5-9ef118632aee</errorID>
      <errorWord>:</errorWord>
      <group>L1_Format</group>
      <groupName>格式问题</groupName>
      <ability>L2_HalfPunc_CN</ability>
      <abilityName>全半角问题</abilityName>
      <candidateList>
        <item>：</item>
      </candidateList>
      <explain>文本全半角错误。</explain>
      <paraID>514962BF</paraID>
      <start>2</start>
      <end>3</end>
      <status>modified</status>
      <modifiedWord>：</modifiedWord>
      <trackRevisions>false</trackRevisions>
    </reviewItem>
    <reviewItem>
      <errorID>25883b9c-7b05-4e47-ad06-9f047881f932</errorID>
      <errorWord>支承</errorWord>
      <group>L1_Word</group>
      <groupName>字词问题</groupName>
      <ability>L2_Typo</ability>
      <abilityName>字词错误</abilityName>
      <candidateList>
        <item>支撑</item>
      </candidateList>
      <explain>存在发音相同字词的误用。</explain>
      <paraID>75BE6FBC</paraID>
      <start>0</start>
      <end>2</end>
      <status>unmodified</status>
      <modifiedWord/>
      <trackRevisions>false</trackRevisions>
    </reviewItem>
    <reviewItem>
      <errorID>b34e7933-cc2c-4834-9837-37da005bed53</errorID>
      <errorWord>:</errorWord>
      <group>L1_Format</group>
      <groupName>格式问题</groupName>
      <ability>L2_HalfPunc_CN</ability>
      <abilityName>全半角问题</abilityName>
      <candidateList>
        <item>：</item>
      </candidateList>
      <explain>文本全半角错误。</explain>
      <paraID>473DBE21</paraID>
      <start>2</start>
      <end>3</end>
      <status>modified</status>
      <modifiedWord>：</modifiedWord>
      <trackRevisions>false</trackRevisions>
    </reviewItem>
    <reviewItem>
      <errorID>135e7aee-3e07-4a87-ae02-aee1e47b0724</errorID>
      <errorWord>(</errorWord>
      <group>L1_Format</group>
      <groupName>格式问题</groupName>
      <ability>L2_HalfPunc_CN</ability>
      <abilityName>全半角问题</abilityName>
      <candidateList>
        <item>（</item>
      </candidateList>
      <explain>文本全半角错误。</explain>
      <paraID>473DBE21</paraID>
      <start>13</start>
      <end>14</end>
      <status>modified</status>
      <modifiedWord>（</modifiedWord>
      <trackRevisions>false</trackRevisions>
    </reviewItem>
    <reviewItem>
      <errorID>2d673e19-02f5-4b20-8cc7-2fb81c1a6d11</errorID>
      <errorWord>)</errorWord>
      <group>L1_Format</group>
      <groupName>格式问题</groupName>
      <ability>L2_HalfPunc_CN</ability>
      <abilityName>全半角问题</abilityName>
      <candidateList>
        <item>）</item>
      </candidateList>
      <explain>文本全半角错误。</explain>
      <paraID>473DBE21</paraID>
      <start>19</start>
      <end>20</end>
      <status>modified</status>
      <modifiedWord>）</modifiedWord>
      <trackRevisions>false</trackRevisions>
    </reviewItem>
    <reviewItem>
      <errorID>57b314bf-a6bc-4d6a-9460-05ef38454d1d</errorID>
      <errorWord>(</errorWord>
      <group>L1_Format</group>
      <groupName>格式问题</groupName>
      <ability>L2_HalfPunc_CN</ability>
      <abilityName>全半角问题</abilityName>
      <candidateList>
        <item>（</item>
      </candidateList>
      <explain>文本全半角错误。</explain>
      <paraID>3044EFC7</paraID>
      <start>8</start>
      <end>9</end>
      <status>modified</status>
      <modifiedWord>（</modifiedWord>
      <trackRevisions>false</trackRevisions>
    </reviewItem>
    <reviewItem>
      <errorID>295bed1a-34fa-4086-bd22-3eff922eb999</errorID>
      <errorWord>)</errorWord>
      <group>L1_Format</group>
      <groupName>格式问题</groupName>
      <ability>L2_HalfPunc_CN</ability>
      <abilityName>全半角问题</abilityName>
      <candidateList>
        <item>）</item>
      </candidateList>
      <explain>文本全半角错误。</explain>
      <paraID>3044EFC7</paraID>
      <start>13</start>
      <end>14</end>
      <status>modified</status>
      <modifiedWord>）</modifiedWord>
      <trackRevisions>false</trackRevisions>
    </reviewItem>
    <reviewItem>
      <errorID>69940427-fda8-42d8-943d-32bf297308d5</errorID>
      <errorWord>支承</errorWord>
      <group>L1_Word</group>
      <groupName>字词问题</groupName>
      <ability>L2_Typo</ability>
      <abilityName>字词错误</abilityName>
      <candidateList>
        <item>支撑</item>
      </candidateList>
      <explain>存在发音相同字词的误用。</explain>
      <paraID>3D666ED8</paraID>
      <start>19</start>
      <end>21</end>
      <status>unmodified</status>
      <modifiedWord/>
      <trackRevisions>false</trackRevisions>
    </reviewItem>
    <reviewItem>
      <errorID>ad018216-eac1-4f53-af8c-82a0c4cd219e</errorID>
      <errorWord>支承</errorWord>
      <group>L1_Word</group>
      <groupName>字词问题</groupName>
      <ability>L2_Typo</ability>
      <abilityName>字词错误</abilityName>
      <candidateList>
        <item>支撑</item>
      </candidateList>
      <explain>存在发音相同字词的误用。</explain>
      <paraID>328FF4F0</paraID>
      <start>21</start>
      <end>23</end>
      <status>unmodified</status>
      <modifiedWord/>
      <trackRevisions>false</trackRevisions>
    </reviewItem>
    <reviewItem>
      <errorID>dbe1a781-8eb1-454b-ba9c-9d4e84851083</errorID>
      <errorWord>支承点</errorWord>
      <group>L1_Word</group>
      <groupName>字词问题</groupName>
      <ability>L2_Typo</ability>
      <abilityName>字词错误</abilityName>
      <candidateList>
        <item>支撑点</item>
      </candidateList>
      <explain/>
      <paraID>3037D717</paraID>
      <start>11</start>
      <end>14</end>
      <status>unmodified</status>
      <modifiedWord/>
      <trackRevisions>false</trackRevisions>
    </reviewItem>
    <reviewItem>
      <errorID>e69f7292-45f0-4903-a15f-95a4fd10ff5d</errorID>
      <errorWord>支承点</errorWord>
      <group>L1_Word</group>
      <groupName>字词问题</groupName>
      <ability>L2_Typo</ability>
      <abilityName>字词错误</abilityName>
      <candidateList>
        <item>支撑点</item>
      </candidateList>
      <explain>存在发音相同字词的误用。</explain>
      <paraID>1440720E</paraID>
      <start>3</start>
      <end>6</end>
      <status>unmodified</status>
      <modifiedWord/>
      <trackRevisions>false</trackRevisions>
    </reviewItem>
    <reviewItem>
      <errorID>879484eb-ef57-405a-ab56-f5bca7023c12</errorID>
      <errorWord>(</errorWord>
      <group>L1_Format</group>
      <groupName>格式问题</groupName>
      <ability>L2_HalfPunc_CN</ability>
      <abilityName>全半角问题</abilityName>
      <candidateList>
        <item>（</item>
      </candidateList>
      <explain>文本全半角错误。</explain>
      <paraID>4DE717EB</paraID>
      <start>33</start>
      <end>34</end>
      <status>modified</status>
      <modifiedWord>（</modifiedWord>
      <trackRevisions>false</trackRevisions>
    </reviewItem>
    <reviewItem>
      <errorID>d49e10e6-779e-4411-b7e8-034a09a637b8</errorID>
      <errorWord>)</errorWord>
      <group>L1_Format</group>
      <groupName>格式问题</groupName>
      <ability>L2_HalfPunc_CN</ability>
      <abilityName>全半角问题</abilityName>
      <candidateList>
        <item>）</item>
      </candidateList>
      <explain>文本全半角错误。</explain>
      <paraID>4DE717EB</paraID>
      <start>43</start>
      <end>44</end>
      <status>modified</status>
      <modifiedWord>）</modifiedWord>
      <trackRevisions>false</trackRevisions>
    </reviewItem>
    <reviewItem>
      <errorID>f22976d8-0f14-4352-b1d0-d9334b34271b</errorID>
      <errorWord>支承架</errorWord>
      <group>L1_Word</group>
      <groupName>字词问题</groupName>
      <ability>L2_Typo</ability>
      <abilityName>字词错误</abilityName>
      <candidateList>
        <item>支撑架</item>
      </candidateList>
      <explain/>
      <paraID>358D76A0</paraID>
      <start>3</start>
      <end>6</end>
      <status>unmodified</status>
      <modifiedWord/>
      <trackRevisions>false</trackRevisions>
    </reviewItem>
    <reviewItem>
      <errorID>749475ba-6783-42fd-aad3-637a78bf1525</errorID>
      <errorWord>支承架</errorWord>
      <group>L1_Word</group>
      <groupName>字词问题</groupName>
      <ability>L2_Typo</ability>
      <abilityName>字词错误</abilityName>
      <candidateList>
        <item>支撑架</item>
      </candidateList>
      <explain/>
      <paraID> F0CB351</paraID>
      <start>7</start>
      <end>10</end>
      <status>unmodified</status>
      <modifiedWord/>
      <trackRevisions>false</trackRevisions>
    </reviewItem>
    <reviewItem>
      <errorID>0082f806-c2f1-400b-808f-0cff32119868</errorID>
      <errorWord>,</errorWord>
      <group>L1_Format</group>
      <groupName>格式问题</groupName>
      <ability>L2_HalfPunc_CN</ability>
      <abilityName>全半角问题</abilityName>
      <candidateList>
        <item>，</item>
      </candidateList>
      <explain>文本全半角错误。</explain>
      <paraID>52DE1B1D</paraID>
      <start>38</start>
      <end>39</end>
      <status>modified</status>
      <modifiedWord>，</modifiedWord>
      <trackRevisions>false</trackRevisions>
    </reviewItem>
    <reviewItem>
      <errorID>799f4ab0-7368-49c7-a114-7135e431a2c3</errorID>
      <errorWord>支承</errorWord>
      <group>L1_Word</group>
      <groupName>字词问题</groupName>
      <ability>L2_Typo</ability>
      <abilityName>字词错误</abilityName>
      <candidateList>
        <item>支撑</item>
      </candidateList>
      <explain/>
      <paraID>2DC2FEC1</paraID>
      <start>6</start>
      <end>8</end>
      <status>unmodified</status>
      <modifiedWord/>
      <trackRevisions>false</trackRevisions>
    </reviewItem>
    <reviewItem>
      <errorID>c49f035d-ca3a-4001-94ec-4532c85f2e04</errorID>
      <errorWord>支承</errorWord>
      <group>L1_Word</group>
      <groupName>字词问题</groupName>
      <ability>L2_Typo</ability>
      <abilityName>字词错误</abilityName>
      <candidateList>
        <item>支撑</item>
      </candidateList>
      <explain/>
      <paraID>2CB3F613</paraID>
      <start>6</start>
      <end>8</end>
      <status>unmodified</status>
      <modifiedWord/>
      <trackRevisions>false</trackRevisions>
    </reviewItem>
    <reviewItem>
      <errorID>08b02a66-f6a7-45d9-bfe7-5b0379197182</errorID>
      <errorWord>并应</errorWord>
      <group>L1_Word</group>
      <groupName>字词问题</groupName>
      <ability>L2_Typo</ability>
      <abilityName>字词错误</abilityName>
      <candidateList>
        <item>并</item>
      </candidateList>
      <explain/>
      <paraID>592B9527</paraID>
      <start>118</start>
      <end>120</end>
      <status>unmodified</status>
      <modifiedWord/>
      <trackRevisions>false</trackRevisions>
    </reviewItem>
    <reviewItem>
      <errorID>45c9277b-3d30-43e0-bdd9-fb7d1fe8a71f</errorID>
      <errorWord>支承</errorWord>
      <group>L1_Word</group>
      <groupName>字词问题</groupName>
      <ability>L2_Typo</ability>
      <abilityName>字词错误</abilityName>
      <candidateList>
        <item>支撑</item>
      </candidateList>
      <explain/>
      <paraID>3548BA99</paraID>
      <start>38</start>
      <end>40</end>
      <status>unmodified</status>
      <modifiedWord/>
      <trackRevisions>false</trackRevisions>
    </reviewItem>
    <reviewItem>
      <errorID>c9a31394-6126-4eea-bce3-4ca0f853718e</errorID>
      <errorWord>消音器</errorWord>
      <group>L1_Word</group>
      <groupName>字词问题</groupName>
      <ability>L2_Typo</ability>
      <abilityName>字词错误</abilityName>
      <candidateList>
        <item>消声器</item>
      </candidateList>
      <explain/>
      <paraID>12E62E50</paraID>
      <start>30</start>
      <end>33</end>
      <status>unmodified</status>
      <modifiedWord/>
      <trackRevisions>false</trackRevisions>
    </reviewItem>
    <reviewItem>
      <errorID>283c4d03-6be9-447c-a0cf-374c8364c8a1</errorID>
      <errorWord>(</errorWord>
      <group>L1_Format</group>
      <groupName>格式问题</groupName>
      <ability>L2_HalfPunc_CN</ability>
      <abilityName>全半角问题</abilityName>
      <candidateList>
        <item>（</item>
      </candidateList>
      <explain>文本全半角错误。</explain>
      <paraID> DAE7FDF</paraID>
      <start>35</start>
      <end>36</end>
      <status>modified</status>
      <modifiedWord>（</modifiedWord>
      <trackRevisions>false</trackRevisions>
    </reviewItem>
    <reviewItem>
      <errorID>54e270cb-f73f-46ae-aca7-2321ba4747ff</errorID>
      <errorWord>)</errorWord>
      <group>L1_Format</group>
      <groupName>格式问题</groupName>
      <ability>L2_HalfPunc_CN</ability>
      <abilityName>全半角问题</abilityName>
      <candidateList>
        <item>）</item>
      </candidateList>
      <explain>文本全半角错误。</explain>
      <paraID> DAE7FDF</paraID>
      <start>43</start>
      <end>44</end>
      <status>modified</status>
      <modifiedWord>）</modifiedWord>
      <trackRevisions>false</trackRevisions>
    </reviewItem>
    <reviewItem>
      <errorID>bf52b03e-4e5d-4109-bcd4-1c3f6e317f13</errorID>
      <errorWord>20%~30%</errorWord>
      <group>L1_Knowledge</group>
      <groupName>知识性问题</groupName>
      <ability>L2_Knowledge</ability>
      <abilityName>其他知识</abilityName>
      <candidateList>
        <item>20%～30%</item>
      </candidateList>
      <explain>1. “20%~30%”中的单位“%”仅出现在后一个数字上，容易引起歧义；根据《现代汉语标点符号数字用法规范手册》，数字表示范围两边需要使用统一的格式。2. 根据标点国标 4.13 中的规则，数字、时间或地域连接符应使用（视觉上更长的）“—”或“～”。</explain>
      <paraID>1675F504</paraID>
      <start>43</start>
      <end>50</end>
      <status>modified</status>
      <modifiedWord>20%～30%</modifiedWord>
      <trackRevisions>false</trackRevisions>
    </reviewItem>
    <reviewItem>
      <errorID>2addfaad-1175-4f8e-aa69-d4f8b819de78</errorID>
      <errorWord>感应</errorWord>
      <group>L1_Word</group>
      <groupName>字词问题</groupName>
      <ability>L2_Typo</ability>
      <abilityName>字词错误</abilityName>
      <candidateList>
        <item>应</item>
      </candidateList>
      <explain/>
      <paraID> D52CA05</paraID>
      <start>4</start>
      <end>6</end>
      <status>unmodified</status>
      <modifiedWord/>
      <trackRevisions>false</trackRevisions>
    </reviewItem>
    <reviewItem>
      <errorID>ded457a8-caf5-410e-abc1-26de0b000fc7</errorID>
      <errorWord>有</errorWord>
      <group>L1_Word</group>
      <groupName>字词问题</groupName>
      <ability>L2_Typo</ability>
      <abilityName>字词错误</abilityName>
      <candidateList>
        <item>在</item>
      </candidateList>
      <explain>存在字形相近字词的误用。</explain>
      <paraID>3F0E1D9B</paraID>
      <start>18</start>
      <end>19</end>
      <status>unmodified</status>
      <modifiedWord/>
      <trackRevisions>false</trackRevisions>
    </reviewItem>
    <reviewItem>
      <errorID>8cfd6507-a975-41e6-bbe4-785227dd27a4</errorID>
      <errorWord>数据交</errorWord>
      <group>L1_Word</group>
      <groupName>字词问题</groupName>
      <ability>L2_Typo</ability>
      <abilityName>字词错误</abilityName>
      <candidateList>
        <item>数据</item>
      </candidateList>
      <explain/>
      <paraID>1E410AEB</paraID>
      <start>56</start>
      <end>59</end>
      <status>unmodified</status>
      <modifiedWord/>
      <trackRevisions>false</trackRevisions>
    </reviewItem>
    <reviewItem>
      <errorID>2dd59d64-8b81-41bc-982c-58893eb8e5de</errorID>
      <errorWord>互相</errorWord>
      <group>L1_Word</group>
      <groupName>字词问题</groupName>
      <ability>L2_Typo</ability>
      <abilityName>字词错误</abilityName>
      <candidateList>
        <item>互</item>
      </candidateList>
      <explain/>
      <paraID>1E410AEB</paraID>
      <start>59</start>
      <end>61</end>
      <status>unmodified</status>
      <modifiedWord/>
      <trackRevisions>false</trackRevisions>
    </reviewItem>
    <reviewItem>
      <errorID>8c416c8c-c9ec-4c69-9ffe-3c6b49473370</errorID>
      <errorWord>协议用</errorWord>
      <group>L1_Word</group>
      <groupName>字词问题</groupName>
      <ability>L2_Typo</ability>
      <abilityName>字词错误</abilityName>
      <candidateList>
        <item>协议</item>
      </candidateList>
      <explain/>
      <paraID>2644CA4E</paraID>
      <start>50</start>
      <end>52</end>
      <status>modified</status>
      <modifiedWord>协议</modifiedWord>
      <trackRevisions>false</trackRevisions>
    </reviewItem>
    <reviewItem>
      <errorID>1e73364f-4dec-429c-baf3-3ae26ee86704</errorID>
      <errorWord>晰</errorWord>
      <group>L1_Word</group>
      <groupName>字词问题</groupName>
      <ability>L2_Typo</ability>
      <abilityName>字词错误</abilityName>
      <candidateList>
        <item>晰地</item>
      </candidateList>
      <explain/>
      <paraID>2E595D89</paraID>
      <start>6</start>
      <end>8</end>
      <status>modified</status>
      <modifiedWord>晰地</modifiedWord>
      <trackRevisions>false</trackRevisions>
    </reviewItem>
    <reviewItem>
      <errorID>623cc2c2-82d5-42f5-9bff-3b5dccff68bc</errorID>
      <errorWord>”</errorWord>
      <group>L1_Punc</group>
      <groupName>标点问题</groupName>
      <ability>L2_Punc_CN</ability>
      <abilityName>标点符号问题</abilityName>
      <candidateList>
        <item>“</item>
      </candidateList>
      <explain>注意检查双引号的方向是否正确。</explain>
      <paraID>11BAEF46</paraID>
      <start>59</start>
      <end>60</end>
      <status>modified</status>
      <modifiedWord>“</modifiedWord>
      <trackRevisions>false</trackRevisions>
    </reviewItem>
    <reviewItem>
      <errorID>6d62e42d-a99d-4133-b79d-790cf6d24e9f</errorID>
      <errorWord>-</errorWord>
      <group>L1_Format</group>
      <groupName>格式问题</groupName>
      <ability>L2_HalfPunc_CN</ability>
      <abilityName>全半角问题</abilityName>
      <candidateList>
        <item>－</item>
      </candidateList>
      <explain>文本全半角错误。</explain>
      <paraID>11BAEF46</paraID>
      <start>62</start>
      <end>63</end>
      <status>modified</status>
      <modifiedWord>－</modifiedWord>
      <trackRevisions>false</trackRevisions>
    </reviewItem>
    <reviewItem>
      <errorID>1965dbd8-fc35-469e-827a-696b2d524d20</errorID>
      <errorWord>-</errorWord>
      <group>L1_Format</group>
      <groupName>格式问题</groupName>
      <ability>L2_HalfPunc_CN</ability>
      <abilityName>全半角问题</abilityName>
      <candidateList>
        <item>－</item>
      </candidateList>
      <explain>文本全半角错误。</explain>
      <paraID>5FF3789C</paraID>
      <start>59</start>
      <end>60</end>
      <status>modified</status>
      <modifiedWord>－</modifiedWord>
      <trackRevisions>false</trackRevisions>
    </reviewItem>
    <reviewItem>
      <errorID>2f92cda6-0404-4589-a476-82044644247e</errorID>
      <errorWord>-</errorWord>
      <group>L1_Format</group>
      <groupName>格式问题</groupName>
      <ability>L2_HalfPunc_CN</ability>
      <abilityName>全半角问题</abilityName>
      <candidateList>
        <item>－</item>
      </candidateList>
      <explain>文本全半角错误。</explain>
      <paraID>34C224BD</paraID>
      <start>57</start>
      <end>58</end>
      <status>modified</status>
      <modifiedWord>－</modifiedWord>
      <trackRevisions>false</trackRevisions>
    </reviewItem>
    <reviewItem>
      <errorID>12c5c96e-b6bc-4d28-8474-4e2758f5d38a</errorID>
      <errorWord>-</errorWord>
      <group>L1_Format</group>
      <groupName>格式问题</groupName>
      <ability>L2_HalfPunc_CN</ability>
      <abilityName>全半角问题</abilityName>
      <candidateList>
        <item>－</item>
      </candidateList>
      <explain>文本全半角错误。</explain>
      <paraID>34C224BD</paraID>
      <start>60</start>
      <end>61</end>
      <status>modified</status>
      <modifiedWord>－</modifiedWord>
      <trackRevisions>false</trackRevisions>
    </reviewItem>
    <reviewItem>
      <errorID>81286598-5b77-4b6d-851e-c6853e1f5e65</errorID>
      <errorWord>-</errorWord>
      <group>L1_Format</group>
      <groupName>格式问题</groupName>
      <ability>L2_HalfPunc_CN</ability>
      <abilityName>全半角问题</abilityName>
      <candidateList>
        <item>－</item>
      </candidateList>
      <explain>文本全半角错误。</explain>
      <paraID>34C224BD</paraID>
      <start>63</start>
      <end>64</end>
      <status>modified</status>
      <modifiedWord>－</modifiedWord>
      <trackRevisions>false</trackRevisions>
    </reviewItem>
    <reviewItem>
      <errorID>8f413b27-b267-417d-9ca3-a8303c4e73f3</errorID>
      <errorWord>-</errorWord>
      <group>L1_Format</group>
      <groupName>格式问题</groupName>
      <ability>L2_HalfPunc_CN</ability>
      <abilityName>全半角问题</abilityName>
      <candidateList>
        <item>－</item>
      </candidateList>
      <explain>文本全半角错误。</explain>
      <paraID>41AB13EF</paraID>
      <start>49</start>
      <end>50</end>
      <status>modified</status>
      <modifiedWord>－</modifiedWord>
      <trackRevisions>false</trackRevisions>
    </reviewItem>
    <reviewItem>
      <errorID>e23042ff-f715-451d-83ce-7851f9c43161</errorID>
      <errorWord>-</errorWord>
      <group>L1_Format</group>
      <groupName>格式问题</groupName>
      <ability>L2_HalfPunc_CN</ability>
      <abilityName>全半角问题</abilityName>
      <candidateList>
        <item>－</item>
      </candidateList>
      <explain>文本全半角错误。</explain>
      <paraID>41AB13EF</paraID>
      <start>52</start>
      <end>53</end>
      <status>modified</status>
      <modifiedWord>－</modifiedWord>
      <trackRevisions>false</trackRevisions>
    </reviewItem>
    <reviewItem>
      <errorID>9a7528ff-fc39-4a3f-8b87-0a210ceb5983</errorID>
      <errorWord>,</errorWord>
      <group>L1_Format</group>
      <groupName>格式问题</groupName>
      <ability>L2_HalfPunc_CN</ability>
      <abilityName>全半角问题</abilityName>
      <candidateList>
        <item>，</item>
      </candidateList>
      <explain>文本全半角错误。</explain>
      <paraID>  63C0F2</paraID>
      <start>88</start>
      <end>89</end>
      <status>modified</status>
      <modifiedWord>，</modifiedWord>
      <trackRevisions>false</trackRevisions>
    </reviewItem>
    <reviewItem>
      <errorID>32886582-d8d9-45ed-b91e-7bd2bcab7e7a</errorID>
      <errorWord>气割</errorWord>
      <group>L1_Word</group>
      <groupName>字词问题</groupName>
      <ability>L2_Typo</ability>
      <abilityName>字词错误</abilityName>
      <candidateList>
        <item>切割</item>
      </candidateList>
      <explain/>
      <paraID>15ABC970</paraID>
      <start>29</start>
      <end>31</end>
      <status>modified</status>
      <modifiedWord>切割</modifiedWord>
      <trackRevisions>false</trackRevisions>
    </reviewItem>
    <reviewItem>
      <errorID>cfdb9159-db5a-454a-b4b8-5573c7c8b6d9</errorID>
      <errorWord>,</errorWord>
      <group>L1_Format</group>
      <groupName>格式问题</groupName>
      <ability>L2_HalfPunc_CN</ability>
      <abilityName>全半角问题</abilityName>
      <candidateList>
        <item>，</item>
      </candidateList>
      <explain>文本全半角错误。</explain>
      <paraID>59DB878F</paraID>
      <start>10</start>
      <end>11</end>
      <status>modified</status>
      <modifiedWord>，</modifiedWord>
      <trackRevisions>false</trackRevisions>
    </reviewItem>
    <reviewItem>
      <errorID>693bd66f-8563-4fb3-b352-73c93cbc8efd</errorID>
      <errorWord>制孔</errorWord>
      <group>L1_Word</group>
      <groupName>字词问题</groupName>
      <ability>L2_Typo</ability>
      <abilityName>字词错误</abilityName>
      <candidateList>
        <item>钻孔</item>
      </candidateList>
      <explain/>
      <paraID>59DB878F</paraID>
      <start>84</start>
      <end>86</end>
      <status>unmodified</status>
      <modifiedWord/>
      <trackRevisions>false</trackRevisions>
    </reviewItem>
    <reviewItem>
      <errorID>c4dd5b10-e606-468a-bb47-b130d3b568ac</errorID>
      <errorWord>~</errorWord>
      <group>L1_Format</group>
      <groupName>格式问题</groupName>
      <ability>L2_HalfPunc_CN</ability>
      <abilityName>全半角问题</abilityName>
      <candidateList>
        <item>～</item>
      </candidateList>
      <explain>文本全半角错误。</explain>
      <paraID>351EE62A</paraID>
      <start>47</start>
      <end>48</end>
      <status>modified</status>
      <modifiedWord>～</modifiedWord>
      <trackRevisions>false</trackRevisions>
    </reviewItem>
    <reviewItem>
      <errorID>e33d664b-c6dd-42a3-ab76-0ae2cea95eb2</errorID>
      <errorWord>支承</errorWord>
      <group>L1_Word</group>
      <groupName>字词问题</groupName>
      <ability>L2_Typo</ability>
      <abilityName>字词错误</abilityName>
      <candidateList>
        <item>支撑</item>
      </candidateList>
      <explain>存在发音相同字词的误用。</explain>
      <paraID>4B3D97D8</paraID>
      <start>0</start>
      <end>2</end>
      <status>unmodified</status>
      <modifiedWord/>
      <trackRevisions>false</trackRevisions>
    </reviewItem>
    <reviewItem>
      <errorID>afa010cb-0bea-4620-83fb-9197aad0c953</errorID>
      <errorWord>;</errorWord>
      <group>L1_Format</group>
      <groupName>格式问题</groupName>
      <ability>L2_HalfPunc_CN</ability>
      <abilityName>全半角问题</abilityName>
      <candidateList>
        <item>；</item>
      </candidateList>
      <explain>文本全半角错误。</explain>
      <paraID>4CB53514</paraID>
      <start>190</start>
      <end>191</end>
      <status>modified</status>
      <modifiedWord>；</modifiedWord>
      <trackRevisions>false</trackRevisions>
    </reviewItem>
    <reviewItem>
      <errorID>2b7edc37-5a66-451e-97f2-e97cb6d8c9d7</errorID>
      <errorWord>支承架</errorWord>
      <group>L1_Word</group>
      <groupName>字词问题</groupName>
      <ability>L2_Typo</ability>
      <abilityName>字词错误</abilityName>
      <candidateList>
        <item>支撑架</item>
      </candidateList>
      <explain/>
      <paraID> DDE12E5</paraID>
      <start>0</start>
      <end>3</end>
      <status>unmodified</status>
      <modifiedWord/>
      <trackRevisions>false</trackRevisions>
    </reviewItem>
    <reviewItem>
      <errorID>309ea332-c61d-422f-8d56-674be74d9f4e</errorID>
      <errorWord>配制</errorWord>
      <group>L1_Word</group>
      <groupName>字词问题</groupName>
      <ability>L2_Typo</ability>
      <abilityName>字词错误</abilityName>
      <candidateList>
        <item>配置</item>
      </candidateList>
      <explain/>
      <paraID>59B72A91</paraID>
      <start>4</start>
      <end>6</end>
      <status>modified</status>
      <modifiedWord>配置</modifiedWord>
      <trackRevisions>false</trackRevisions>
    </reviewItem>
    <reviewItem>
      <errorID>0b477b4b-5cf9-482d-8a87-cd10b539b573</errorID>
      <errorWord>支承</errorWord>
      <group>L1_Word</group>
      <groupName>字词问题</groupName>
      <ability>L2_Typo</ability>
      <abilityName>字词错误</abilityName>
      <candidateList>
        <item>支撑</item>
      </candidateList>
      <explain>存在发音相同字词的误用。</explain>
      <paraID>21D1989F</paraID>
      <start>6</start>
      <end>8</end>
      <status>unmodified</status>
      <modifiedWord/>
      <trackRevisions>false</trackRevisions>
    </reviewItem>
    <reviewItem>
      <errorID>b5c8a5ab-2b95-4e96-b903-2960fdec7ab2</errorID>
      <errorWord>对于</errorWord>
      <group>L1_Word</group>
      <groupName>字词问题</groupName>
      <ability>L2_Typo</ability>
      <abilityName>字词错误</abilityName>
      <candidateList>
        <item>对</item>
      </candidateList>
      <explain/>
      <paraID> 74FDA72</paraID>
      <start>28</start>
      <end>29</end>
      <status>modified</status>
      <modifiedWord>对</modifiedWord>
      <trackRevisions>false</trackRevisions>
    </reviewItem>
    <reviewItem>
      <errorID>624be277-371a-4afc-9a5c-715b31fb23c8</errorID>
      <errorWord>有</errorWord>
      <group>L1_Word</group>
      <groupName>字词问题</groupName>
      <ability>L2_Typo</ability>
      <abilityName>字词错误</abilityName>
      <candidateList>
        <item>由</item>
      </candidateList>
      <explain>存在发音相同字词的误用。</explain>
      <paraID>618F256E</paraID>
      <start>8</start>
      <end>9</end>
      <status>modified</status>
      <modifiedWord>由</modifiedWord>
      <trackRevisions>false</trackRevisions>
    </reviewItem>
    <reviewItem>
      <errorID>3cfc8a52-2e8a-49d9-a4d1-7a0821ccb042</errorID>
      <errorWord>，</errorWord>
      <group>L1_Word</group>
      <groupName>字词问题</groupName>
      <ability>L2_Typo</ability>
      <abilityName>字词错误</abilityName>
      <candidateList>
        <item>，对</item>
      </candidateList>
      <explain/>
      <paraID>23D5093C</paraID>
      <start>25</start>
      <end>27</end>
      <status>modified</status>
      <modifiedWord>，对</modifiedWord>
      <trackRevisions>false</trackRevisions>
    </reviewItem>
    <reviewItem>
      <errorID>04fc8f9d-4475-408a-9633-1549a868577c</errorID>
      <errorWord>支承</errorWord>
      <group>L1_Word</group>
      <groupName>字词问题</groupName>
      <ability>L2_Typo</ability>
      <abilityName>字词错误</abilityName>
      <candidateList>
        <item>支撑</item>
      </candidateList>
      <explain>存在发音相同字词的误用。</explain>
      <paraID>3A33865B</paraID>
      <start>40</start>
      <end>42</end>
      <status>unmodified</status>
      <modifiedWord/>
      <trackRevisions>false</trackRevisions>
    </reviewItem>
    <reviewItem>
      <errorID>82f74f1c-a84f-430b-8e0b-5410f3e9fb1f</errorID>
      <errorWord>支承</errorWord>
      <group>L1_Word</group>
      <groupName>字词问题</groupName>
      <ability>L2_Typo</ability>
      <abilityName>字词错误</abilityName>
      <candidateList>
        <item>支撑</item>
      </candidateList>
      <explain>存在发音相同字词的误用。</explain>
      <paraID>7DEFFB08</paraID>
      <start>9</start>
      <end>11</end>
      <status>unmodified</status>
      <modifiedWord/>
      <trackRevisions>false</trackRevisions>
    </reviewItem>
    <reviewItem>
      <errorID>a7168edf-8bc6-41ff-8aae-6c5b561880f0</errorID>
      <errorWord>支承</errorWord>
      <group>L1_Word</group>
      <groupName>字词问题</groupName>
      <ability>L2_Typo</ability>
      <abilityName>字词错误</abilityName>
      <candidateList>
        <item>支撑</item>
      </candidateList>
      <explain/>
      <paraID>14BA1668</paraID>
      <start>0</start>
      <end>2</end>
      <status>unmodified</status>
      <modifiedWord/>
      <trackRevisions>false</trackRevisions>
    </reviewItem>
    <reviewItem>
      <errorID>b795bd52-0740-46f6-88fd-9b9eb08acbd9</errorID>
      <errorWord>支承架</errorWord>
      <group>L1_Word</group>
      <groupName>字词问题</groupName>
      <ability>L2_Typo</ability>
      <abilityName>字词错误</abilityName>
      <candidateList>
        <item>支撑架</item>
      </candidateList>
      <explain/>
      <paraID>4B48864E</paraID>
      <start>0</start>
      <end>3</end>
      <status>unmodified</status>
      <modifiedWord/>
      <trackRevisions>false</trackRevisions>
    </reviewItem>
    <reviewItem>
      <errorID>820e6e0d-b87c-4ebe-8902-0427f46554f7</errorID>
      <errorWord>支承</errorWord>
      <group>L1_Word</group>
      <groupName>字词问题</groupName>
      <ability>L2_Typo</ability>
      <abilityName>字词错误</abilityName>
      <candidateList>
        <item>支撑</item>
      </candidateList>
      <explain/>
      <paraID>491EDDCD</paraID>
      <start>0</start>
      <end>2</end>
      <status>unmodified</status>
      <modifiedWord/>
      <trackRevisions>false</trackRevisions>
    </reviewItem>
    <reviewItem>
      <errorID>3fc57622-5f7c-49d3-9a0e-5bf92ab0c27f</errorID>
      <errorWord>支承</errorWord>
      <group>L1_Word</group>
      <groupName>字词问题</groupName>
      <ability>L2_Typo</ability>
      <abilityName>字词错误</abilityName>
      <candidateList>
        <item>支撑</item>
      </candidateList>
      <explain/>
      <paraID>739A9610</paraID>
      <start>0</start>
      <end>2</end>
      <status>unmodified</status>
      <modifiedWord/>
      <trackRevisions>false</trackRevisions>
    </reviewItem>
    <reviewItem>
      <errorID>1e5558c9-f8dd-4513-9029-1740a24876f2</errorID>
      <errorWord>支承</errorWord>
      <group>L1_Word</group>
      <groupName>字词问题</groupName>
      <ability>L2_Typo</ability>
      <abilityName>字词错误</abilityName>
      <candidateList>
        <item>支撑</item>
      </candidateList>
      <explain/>
      <paraID>27BAF3F4</paraID>
      <start>0</start>
      <end>2</end>
      <status>unmodified</status>
      <modifiedWord/>
      <trackRevisions>false</trackRevisions>
    </reviewItem>
    <reviewItem>
      <errorID>7cc21010-373f-4018-b872-bb880b0b8469</errorID>
      <errorWord>无其它</errorWord>
      <group>L1_Word</group>
      <groupName>字词问题</groupName>
      <ability>L2_Alias</ability>
      <abilityName>也作/曾用词</abilityName>
      <candidateList>
        <item>无其他</item>
      </candidateList>
      <explain>词汇[无其它]为不规范表述或旧称，其规范书面表述为[无其他]。</explain>
      <paraID>2B4608FC</paraID>
      <start>9</start>
      <end>12</end>
      <status>modified</status>
      <modifiedWord>无其他</modifiedWord>
      <trackRevisions>false</trackRevisions>
    </reviewItem>
    <reviewItem>
      <errorID>37f711ea-4e82-4d74-85e8-be8c5b7a7f1b</errorID>
      <errorWord>剐</errorWord>
      <group>L1_Word</group>
      <groupName>字词问题</groupName>
      <ability>L2_Typo</ability>
      <abilityName>字词错误</abilityName>
      <candidateList>
        <item>刮</item>
      </candidateList>
      <explain>存在发音相同字词的误用。</explain>
      <paraID> 8D78CB6</paraID>
      <start>47</start>
      <end>48</end>
      <status>modified</status>
      <modifiedWord>刮</modifiedWord>
      <trackRevisions>false</trackRevisions>
    </reviewItem>
    <reviewItem>
      <errorID>4fb6eef8-2f61-41ac-8ae7-31fc92c78349</errorID>
      <errorWord>支承架</errorWord>
      <group>L1_Word</group>
      <groupName>字词问题</groupName>
      <ability>L2_Typo</ability>
      <abilityName>字词错误</abilityName>
      <candidateList>
        <item>支撑架</item>
      </candidateList>
      <explain/>
      <paraID>3CC2BFC3</paraID>
      <start>22</start>
      <end>25</end>
      <status>unmodified</status>
      <modifiedWord/>
      <trackRevisions>false</trackRevisions>
    </reviewItem>
    <reviewItem>
      <errorID>902e8a1d-ae87-4758-961e-99a4aa3114c7</errorID>
      <errorWord>(</errorWord>
      <group>L1_Format</group>
      <groupName>格式问题</groupName>
      <ability>L2_HalfPunc_CN</ability>
      <abilityName>全半角问题</abilityName>
      <candidateList>
        <item>（</item>
      </candidateList>
      <explain>文本全半角错误。</explain>
      <paraID> C5524A0</paraID>
      <start>27</start>
      <end>28</end>
      <status>modified</status>
      <modifiedWord>（</modifiedWord>
      <trackRevisions>false</trackRevisions>
    </reviewItem>
    <reviewItem>
      <errorID>8e6928f2-0dde-4a2e-b83c-b53f1e7c773f</errorID>
      <errorWord>)</errorWord>
      <group>L1_Format</group>
      <groupName>格式问题</groupName>
      <ability>L2_HalfPunc_CN</ability>
      <abilityName>全半角问题</abilityName>
      <candidateList>
        <item>）</item>
      </candidateList>
      <explain>文本全半角错误。</explain>
      <paraID> C5524A0</paraID>
      <start>30</start>
      <end>31</end>
      <status>modified</status>
      <modifiedWord>）</modifiedWord>
      <trackRevisions>false</trackRevisions>
    </reviewItem>
    <reviewItem>
      <errorID>c32675e7-4786-4a51-8554-07b6d6960664</errorID>
      <errorWord>经</errorWord>
      <group>L1_Word</group>
      <groupName>字词问题</groupName>
      <ability>L2_Typo</ability>
      <abilityName>字词错误</abilityName>
      <candidateList>
        <item>经过</item>
      </candidateList>
      <explain/>
      <paraID>15BC2C8B</paraID>
      <start>27</start>
      <end>29</end>
      <status>modified</status>
      <modifiedWord>经过</modifiedWord>
      <trackRevisions>false</trackRevisions>
    </reviewItem>
    <reviewItem>
      <errorID>64ebb69c-ecca-40c4-9a0a-f185dbefdf55</errorID>
      <errorWord>支承</errorWord>
      <group>L1_Word</group>
      <groupName>字词问题</groupName>
      <ability>L2_Typo</ability>
      <abilityName>字词错误</abilityName>
      <candidateList>
        <item>支撑</item>
      </candidateList>
      <explain>存在发音相同字词的误用。</explain>
      <paraID>5430D68F</paraID>
      <start>50</start>
      <end>52</end>
      <status>unmodified</status>
      <modifiedWord/>
      <trackRevisions>false</trackRevisions>
    </reviewItem>
    <reviewItem>
      <errorID>04130887-376b-44f1-aefb-2ac1d91e8280</errorID>
      <errorWord>刮蹭</errorWord>
      <group>L1_Word</group>
      <groupName>字词问题</groupName>
      <ability>L2_Typo</ability>
      <abilityName>字词错误</abilityName>
      <candidateList>
        <item>剐蹭</item>
      </candidateList>
      <explain/>
      <paraID> 1EC9E56</paraID>
      <start>65</start>
      <end>67</end>
      <status>unmodified</status>
      <modifiedWord/>
      <trackRevisions>false</trackRevisions>
    </reviewItem>
    <reviewItem>
      <errorID>b5575677-87a4-492a-b189-9fd2a47d103e</errorID>
      <errorWord>~</errorWord>
      <group>L1_Format</group>
      <groupName>格式问题</groupName>
      <ability>L2_HalfPunc_CN</ability>
      <abilityName>全半角问题</abilityName>
      <candidateList>
        <item>～</item>
      </candidateList>
      <explain>文本全半角错误。</explain>
      <paraID> CE55430</paraID>
      <start>8</start>
      <end>9</end>
      <status>modified</status>
      <modifiedWord>～</modifiedWord>
      <trackRevisions>false</trackRevisions>
    </reviewItem>
    <reviewItem>
      <errorID>3a99eaf7-0af8-49f7-a616-2cc379b2e972</errorID>
      <errorWord>~</errorWord>
      <group>L1_Format</group>
      <groupName>格式问题</groupName>
      <ability>L2_HalfPunc_CN</ability>
      <abilityName>全半角问题</abilityName>
      <candidateList>
        <item>～</item>
      </candidateList>
      <explain>文本全半角错误。</explain>
      <paraID> 5895AB8</paraID>
      <start>8</start>
      <end>9</end>
      <status>modified</status>
      <modifiedWord>～</modifiedWord>
      <trackRevisions>false</trackRevisions>
    </reviewItem>
    <reviewItem>
      <errorID>b91e5e60-0c63-489e-ab48-36db7d061eaf</errorID>
      <errorWord>提阶</errorWord>
      <group>L1_Word</group>
      <groupName>字词问题</groupName>
      <ability>L2_Typo</ability>
      <abilityName>字词错误</abilityName>
      <candidateList>
        <item>提及</item>
      </candidateList>
      <explain>存在发音相近字词的误用。</explain>
      <paraID>459A9CD6</paraID>
      <start>14</start>
      <end>16</end>
      <status>modified</status>
      <modifiedWord>提及</modifiedWord>
      <trackRevisions>false</trackRevisions>
    </reviewItem>
    <reviewItem>
      <errorID>11345d0c-4bb2-4999-911e-f117bbdaead9</errorID>
      <errorWord>作</errorWord>
      <group>L1_Word</group>
      <groupName>字词问题</groupName>
      <ability>L2_Typo</ability>
      <abilityName>字词错误</abilityName>
      <candidateList>
        <item>做</item>
      </candidateList>
      <explain>存在发音相同字词的误用。</explain>
      <paraID> 7B91FFE</paraID>
      <start>17</start>
      <end>18</end>
      <status>unmodified</status>
      <modifiedWord/>
      <trackRevisions>false</trackRevisions>
    </reviewItem>
    <reviewItem>
      <errorID>90d9687c-36a2-4bcf-87c9-e8792aa01fe7</errorID>
      <errorWord>冲击接电电阻</errorWord>
      <group>L1_Knowledge</group>
      <groupName>知识性问题</groupName>
      <ability>L2_Term</ability>
      <abilityName>专业术语</abilityName>
      <candidateList>
        <item>冲击接地电阻</item>
      </candidateList>
      <explain/>
      <paraID>380F26ED</paraID>
      <start>38</start>
      <end>44</end>
      <status>modified</status>
      <modifiedWord>冲击接地电阻</modifiedWord>
      <trackRevisions>false</trackRevisions>
    </reviewItem>
    <reviewItem>
      <errorID>20079e87-c7f6-4f7f-85f3-81b02e361792</errorID>
      <errorWord>设</errorWord>
      <group>L1_Word</group>
      <groupName>字词问题</groupName>
      <ability>L2_Typo</ability>
      <abilityName>字词错误</abilityName>
      <candidateList>
        <item>设置</item>
      </candidateList>
      <explain/>
      <paraID>774773BD</paraID>
      <start>28</start>
      <end>30</end>
      <status>modified</status>
      <modifiedWord>设置</modifiedWord>
      <trackRevisions>false</trackRevisions>
    </reviewItem>
    <reviewItem>
      <errorID>4770b66c-d6ba-4020-bd85-f9cb49dcf9e0</errorID>
      <errorWord>支承</errorWord>
      <group>L1_Word</group>
      <groupName>字词问题</groupName>
      <ability>L2_Typo</ability>
      <abilityName>字词错误</abilityName>
      <candidateList>
        <item>支撑</item>
      </candidateList>
      <explain>存在发音相同字词的误用。</explain>
      <paraID>5A87B0A7</paraID>
      <start>12</start>
      <end>14</end>
      <status>unmodified</status>
      <modifiedWord/>
      <trackRevisions>false</trackRevisions>
    </reviewItem>
    <reviewItem>
      <errorID>63473b02-8ad6-465d-be8b-dfee1de42ebd</errorID>
      <errorWord>、或</errorWord>
      <group>L1_Word</group>
      <groupName>字词问题</groupName>
      <ability>L2_Typo</ability>
      <abilityName>字词错误</abilityName>
      <candidateList>
        <item>或</item>
      </candidateList>
      <explain/>
      <paraID>7211131E</paraID>
      <start>102</start>
      <end>103</end>
      <status>modified</status>
      <modifiedWord>或</modifiedWord>
      <trackRevisions>false</trackRevisions>
    </reviewItem>
    <reviewItem>
      <errorID>6c01c389-4ff9-414c-8054-b5ccfdd6ad5f</errorID>
      <errorWord>支承</errorWord>
      <group>L1_Word</group>
      <groupName>字词问题</groupName>
      <ability>L2_Typo</ability>
      <abilityName>字词错误</abilityName>
      <candidateList>
        <item>支撑</item>
      </candidateList>
      <explain>存在发音相同字词的误用。</explain>
      <paraID>5CA7E04C</paraID>
      <start>13</start>
      <end>15</end>
      <status>unmodified</status>
      <modifiedWord/>
      <trackRevisions>false</trackRevisions>
    </reviewItem>
    <reviewItem>
      <errorID>5ae8828c-d5e7-4f05-b613-7e59408aaed2</errorID>
      <errorWord>支承体系</errorWord>
      <group>L1_Word</group>
      <groupName>字词问题</groupName>
      <ability>L2_Typo</ability>
      <abilityName>字词错误</abilityName>
      <candidateList>
        <item>支撑体系</item>
      </candidateList>
      <explain>存在发音相同字词的误用。</explain>
      <paraID>13036FB2</paraID>
      <start>33</start>
      <end>37</end>
      <status>unmodified</status>
      <modifiedWord/>
      <trackRevisions>false</trackRevisions>
    </reviewItem>
    <reviewItem>
      <errorID>e6f5e32c-6253-4a8b-ae66-99c5019f00e6</errorID>
      <errorWord>支承</errorWord>
      <group>L1_Word</group>
      <groupName>字词问题</groupName>
      <ability>L2_Typo</ability>
      <abilityName>字词错误</abilityName>
      <candidateList>
        <item>支撑</item>
      </candidateList>
      <explain>存在发音相同字词的误用。</explain>
      <paraID>58867F77</paraID>
      <start>3</start>
      <end>5</end>
      <status>unmodified</status>
      <modifiedWord/>
      <trackRevisions>false</trackRevisions>
    </reviewItem>
    <reviewItem>
      <errorID>125b3ec3-d9d4-49ca-97b8-118428a073e0</errorID>
      <errorWord>支承</errorWord>
      <group>L1_Word</group>
      <groupName>字词问题</groupName>
      <ability>L2_Typo</ability>
      <abilityName>字词错误</abilityName>
      <candidateList>
        <item>支撑</item>
      </candidateList>
      <explain>存在发音相同字词的误用。</explain>
      <paraID>340971A9</paraID>
      <start>8</start>
      <end>10</end>
      <status>unmodified</status>
      <modifiedWord/>
      <trackRevisions>false</trackRevisions>
    </reviewItem>
    <reviewItem>
      <errorID>08d2f830-0d78-47c5-9d5d-e4b5e6e0aa29</errorID>
      <errorWord>支承</errorWord>
      <group>L1_Word</group>
      <groupName>字词问题</groupName>
      <ability>L2_Typo</ability>
      <abilityName>字词错误</abilityName>
      <candidateList>
        <item>支撑</item>
      </candidateList>
      <explain>存在发音相同字词的误用。</explain>
      <paraID>29B0761C</paraID>
      <start>36</start>
      <end>38</end>
      <status>ignored</status>
      <modifiedWord/>
      <trackRevisions>false</trackRevisions>
    </reviewItem>
    <reviewItem>
      <errorID>c51a5812-315d-4e08-a729-6b6a414ada6e</errorID>
      <errorWord>资质第三方</errorWord>
      <group>L1_Word</group>
      <groupName>字词问题</groupName>
      <ability>L2_Typo</ability>
      <abilityName>字词错误</abilityName>
      <candidateList>
        <item>资质的第三方</item>
      </candidateList>
      <explain/>
      <paraID>6AC69391</paraID>
      <start>21</start>
      <end>27</end>
      <status>modified</status>
      <modifiedWord>资质的第三方</modifiedWord>
      <trackRevisions>false</trackRevisions>
    </reviewItem>
    <reviewItem>
      <errorID>1a300f99-cf22-4c65-bbf3-a40aeea5795e</errorID>
      <errorWord>/、</errorWord>
      <group>L1_Punc</group>
      <groupName>标点问题</groupName>
      <ability>L2_Punc_CN</ability>
      <abilityName>标点符号问题</abilityName>
      <candidateList>
        <item>、</item>
      </candidateList>
      <explain/>
      <paraID>6AA813A0</paraID>
      <start>33</start>
      <end>34</end>
      <status>modified</status>
      <modifiedWord>、</modifiedWord>
      <trackRevisions>false</trackRevisions>
    </reviewItem>
    <reviewItem>
      <errorID>510c71cb-d5c3-45d2-bbfc-c7a22b002df4</errorID>
      <errorWord>支承架</errorWord>
      <group>L1_Word</group>
      <groupName>字词问题</groupName>
      <ability>L2_Typo</ability>
      <abilityName>字词错误</abilityName>
      <candidateList>
        <item>支撑架</item>
      </candidateList>
      <explain>存在发音相同字词的误用。</explain>
      <paraID>2C7B1BCF</paraID>
      <start>21</start>
      <end>24</end>
      <status>unmodified</status>
      <modifiedWord/>
      <trackRevisions>false</trackRevisions>
    </reviewItem>
    <reviewItem>
      <errorID>d8511042-8a3f-4f1e-9c44-cbd7a897b776</errorID>
      <errorWord>支承</errorWord>
      <group>L1_Word</group>
      <groupName>字词问题</groupName>
      <ability>L2_Typo</ability>
      <abilityName>字词错误</abilityName>
      <candidateList>
        <item>支撑</item>
      </candidateList>
      <explain/>
      <paraID>75C5BC16</paraID>
      <start>0</start>
      <end>2</end>
      <status>unmodified</status>
      <modifiedWord/>
      <trackRevisions>false</trackRevisions>
    </reviewItem>
    <reviewItem>
      <errorID>7806d22b-0411-4cd5-ae28-52eea51b7cfb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419CD437</paraID>
      <start>7</start>
      <end>8</end>
      <status>unmodified</status>
      <modifiedWord/>
      <trackRevisions>false</trackRevisions>
    </reviewItem>
    <reviewItem>
      <errorID>886e98bd-3d04-48b2-a0f4-b0f65bb1829c</errorID>
      <errorWord>支承</errorWord>
      <group>L1_Word</group>
      <groupName>字词问题</groupName>
      <ability>L2_Typo</ability>
      <abilityName>字词错误</abilityName>
      <candidateList>
        <item>支撑</item>
      </candidateList>
      <explain>存在发音相同字词的误用。</explain>
      <paraID>470F0FB9</paraID>
      <start>0</start>
      <end>2</end>
      <status>unmodified</status>
      <modifiedWord/>
      <trackRevisions>false</trackRevisions>
    </reviewItem>
    <reviewItem>
      <errorID>720bbba2-8eec-4854-9358-998c66d2f80e</errorID>
      <errorWord>支承</errorWord>
      <group>L1_Word</group>
      <groupName>字词问题</groupName>
      <ability>L2_Typo</ability>
      <abilityName>字词错误</abilityName>
      <candidateList>
        <item>支撑</item>
      </candidateList>
      <explain>存在发音相同字词的误用。</explain>
      <paraID>5EE3E467</paraID>
      <start>0</start>
      <end>2</end>
      <status>unmodified</status>
      <modifiedWord/>
      <trackRevisions>false</trackRevisions>
    </reviewItem>
    <reviewItem>
      <errorID>cafe0753-3d39-412c-87c1-07b81ed62a2b</errorID>
      <errorWord>支承</errorWord>
      <group>L1_Word</group>
      <groupName>字词问题</groupName>
      <ability>L2_Typo</ability>
      <abilityName>字词错误</abilityName>
      <candidateList>
        <item>支撑</item>
      </candidateList>
      <explain>存在发音相同字词的误用。</explain>
      <paraID>28E411FC</paraID>
      <start>0</start>
      <end>2</end>
      <status>unmodified</status>
      <modifiedWord/>
      <trackRevisions>false</trackRevisions>
    </reviewItem>
    <reviewItem>
      <errorID>4bdab308-19c2-48a2-8622-fa59b2c13a31</errorID>
      <errorWord>支承</errorWord>
      <group>L1_Word</group>
      <groupName>字词问题</groupName>
      <ability>L2_Typo</ability>
      <abilityName>字词错误</abilityName>
      <candidateList>
        <item>支撑</item>
      </candidateList>
      <explain>存在发音相同字词的误用。</explain>
      <paraID>1D3A077F</paraID>
      <start>0</start>
      <end>2</end>
      <status>unmodified</status>
      <modifiedWord/>
      <trackRevisions>false</trackRevisions>
    </reviewItem>
    <reviewItem>
      <errorID>eebfbff2-def8-467a-aa6b-3007716b3c21</errorID>
      <errorWord>,</errorWord>
      <group>L1_Format</group>
      <groupName>格式问题</groupName>
      <ability>L2_HalfPunc_CN</ability>
      <abilityName>全半角问题</abilityName>
      <candidateList>
        <item>，</item>
      </candidateList>
      <explain>文本全半角错误。</explain>
      <paraID>522D2BB3</paraID>
      <start>74</start>
      <end>75</end>
      <status>modified</status>
      <modifiedWord>，</modifiedWord>
      <trackRevisions>false</trackRevisions>
    </reviewItem>
    <reviewItem>
      <errorID>9b3be792-90d6-4a2e-ba7a-95b177997f1e</errorID>
      <errorWord>,</errorWord>
      <group>L1_Format</group>
      <groupName>格式问题</groupName>
      <ability>L2_HalfPunc_CN</ability>
      <abilityName>全半角问题</abilityName>
      <candidateList>
        <item>，</item>
      </candidateList>
      <explain>文本全半角错误。</explain>
      <paraID>50DD1427</paraID>
      <start>15</start>
      <end>16</end>
      <status>modified</status>
      <modifiedWord>，</modifiedWord>
      <trackRevisions>false</trackRevisions>
    </reviewItem>
    <reviewItem>
      <errorID>a7fb2ab1-2701-4372-8002-d7138df0fafc</errorID>
      <errorWord>,</errorWord>
      <group>L1_Format</group>
      <groupName>格式问题</groupName>
      <ability>L2_HalfPunc_CN</ability>
      <abilityName>全半角问题</abilityName>
      <candidateList>
        <item>，</item>
      </candidateList>
      <explain>文本全半角错误。</explain>
      <paraID>2DF73717</paraID>
      <start>34</start>
      <end>35</end>
      <status>modified</status>
      <modifiedWord>，</modifiedWord>
      <trackRevisions>false</trackRevisions>
    </reviewItem>
    <reviewItem>
      <errorID>85d109a0-23c7-43c4-84db-53e0cbcdd63e</errorID>
      <errorWord>支承</errorWord>
      <group>L1_Word</group>
      <groupName>字词问题</groupName>
      <ability>L2_Typo</ability>
      <abilityName>字词错误</abilityName>
      <candidateList>
        <item>支撑</item>
      </candidateList>
      <explain/>
      <paraID>5531005E</paraID>
      <start>0</start>
      <end>2</end>
      <status>unmodified</status>
      <modifiedWord/>
      <trackRevisions>false</trackRevisions>
    </reviewItem>
    <reviewItem>
      <errorID>9a447a96-1d1f-4b25-9a6a-070e53866abf</errorID>
      <errorWord>其它</errorWord>
      <group>L1_Word</group>
      <groupName>字词问题</groupName>
      <ability>L2_Alias</ability>
      <abilityName>也作/曾用词</abilityName>
      <candidateList>
        <item>其他</item>
      </candidateList>
      <explain>词汇[其它]为不规范表述或旧称，其规范书面表述为[其他]。</explain>
      <paraID>580C38F8</paraID>
      <start>6</start>
      <end>8</end>
      <status>modified</status>
      <modifiedWord>其他</modifiedWord>
      <trackRevisions>false</trackRevisions>
    </reviewItem>
    <reviewItem>
      <errorID>e6158a6d-33a1-4e3c-81ac-9837acbfd3ed</errorID>
      <errorWord>(</errorWord>
      <group>L1_Format</group>
      <groupName>格式问题</groupName>
      <ability>L2_HalfPunc_CN</ability>
      <abilityName>全半角问题</abilityName>
      <candidateList>
        <item>（</item>
      </candidateList>
      <explain>文本全半角错误。</explain>
      <paraID>3DE820E8</paraID>
      <start>7</start>
      <end>8</end>
      <status>modified</status>
      <modifiedWord>（</modifiedWord>
      <trackRevisions>false</trackRevisions>
    </reviewItem>
    <reviewItem>
      <errorID>491e36b5-ccfa-4129-9670-c85f5444110b</errorID>
      <errorWord>)</errorWord>
      <group>L1_Format</group>
      <groupName>格式问题</groupName>
      <ability>L2_HalfPunc_CN</ability>
      <abilityName>全半角问题</abilityName>
      <candidateList>
        <item>）</item>
      </candidateList>
      <explain>文本全半角错误。</explain>
      <paraID>3DE820E8</paraID>
      <start>10</start>
      <end>11</end>
      <status>modified</status>
      <modifiedWord>）</modifiedWord>
      <trackRevisions>false</trackRevisions>
    </reviewItem>
    <reviewItem>
      <errorID>595ed470-712a-4e7f-935e-502a3c25e4d6</errorID>
      <errorWord>(</errorWord>
      <group>L1_Format</group>
      <groupName>格式问题</groupName>
      <ability>L2_HalfPunc_CN</ability>
      <abilityName>全半角问题</abilityName>
      <candidateList>
        <item>（</item>
      </candidateList>
      <explain>文本全半角错误。</explain>
      <paraID> 8E9815A</paraID>
      <start>26</start>
      <end>27</end>
      <status>modified</status>
      <modifiedWord>（</modifiedWord>
      <trackRevisions>false</trackRevisions>
    </reviewItem>
    <reviewItem>
      <errorID>90da38af-de29-4c12-bdd7-da06cf0343d9</errorID>
      <errorWord>)</errorWord>
      <group>L1_Format</group>
      <groupName>格式问题</groupName>
      <ability>L2_HalfPunc_CN</ability>
      <abilityName>全半角问题</abilityName>
      <candidateList>
        <item>）</item>
      </candidateList>
      <explain>文本全半角错误。</explain>
      <paraID> 8E9815A</paraID>
      <start>29</start>
      <end>30</end>
      <status>modified</status>
      <modifiedWord>）</modifiedWord>
      <trackRevisions>false</trackRevisions>
    </reviewItem>
    <reviewItem>
      <errorID>44f9d5e3-dd70-487f-a1ba-6971412b23ae</errorID>
      <errorWord>(</errorWord>
      <group>L1_Format</group>
      <groupName>格式问题</groupName>
      <ability>L2_HalfPunc_CN</ability>
      <abilityName>全半角问题</abilityName>
      <candidateList>
        <item>（</item>
      </candidateList>
      <explain>文本全半角错误。</explain>
      <paraID>715B4690</paraID>
      <start>0</start>
      <end>1</end>
      <status>modified</status>
      <modifiedWord>（</modifiedWord>
      <trackRevisions>false</trackRevisions>
    </reviewItem>
    <reviewItem>
      <errorID>ff6f6d4a-4453-46be-a2fd-c1dcdecf3433</errorID>
      <errorWord>)</errorWord>
      <group>L1_Format</group>
      <groupName>格式问题</groupName>
      <ability>L2_HalfPunc_CN</ability>
      <abilityName>全半角问题</abilityName>
      <candidateList>
        <item>）</item>
      </candidateList>
      <explain>文本全半角错误。</explain>
      <paraID>715B4690</paraID>
      <start>3</start>
      <end>4</end>
      <status>modified</status>
      <modifiedWord>）</modifiedWord>
      <trackRevisions>false</trackRevisions>
    </reviewItem>
    <reviewItem>
      <errorID>a0be918e-2bc7-47c3-ab99-8029b3e901aa</errorID>
      <errorWord>支承</errorWord>
      <group>L1_Word</group>
      <groupName>字词问题</groupName>
      <ability>L2_Typo</ability>
      <abilityName>字词错误</abilityName>
      <candidateList>
        <item>支撑</item>
      </candidateList>
      <explain/>
      <paraID> 62539CE</paraID>
      <start>0</start>
      <end>2</end>
      <status>unmodified</status>
      <modifiedWord/>
      <trackRevisions>false</trackRevisions>
    </reviewItem>
    <reviewItem>
      <errorID>c9c37202-d4f1-4b02-946e-3421632c6e95</errorID>
      <errorWord>,</errorWord>
      <group>L1_Format</group>
      <groupName>格式问题</groupName>
      <ability>L2_HalfPunc_CN</ability>
      <abilityName>全半角问题</abilityName>
      <candidateList>
        <item>，</item>
      </candidateList>
      <explain>文本全半角错误。</explain>
      <paraID>4AC30E82</paraID>
      <start>14</start>
      <end>15</end>
      <status>modified</status>
      <modifiedWord>，</modifiedWord>
      <trackRevisions>false</trackRevisions>
    </reviewItem>
    <reviewItem>
      <errorID>de47beaa-a4f4-4f2b-a5a1-751c95eaf533</errorID>
      <errorWord>支承架</errorWord>
      <group>L1_Word</group>
      <groupName>字词问题</groupName>
      <ability>L2_Typo</ability>
      <abilityName>字词错误</abilityName>
      <candidateList>
        <item>支撑架</item>
      </candidateList>
      <explain/>
      <paraID>4D964AF8</paraID>
      <start>0</start>
      <end>3</end>
      <status>unmodified</status>
      <modifiedWord/>
      <trackRevisions>false</trackRevisions>
    </reviewItem>
    <reviewItem>
      <errorID>208e6334-8965-426c-8cb4-14475ab1b704</errorID>
      <errorWord>(</errorWord>
      <group>L1_Format</group>
      <groupName>格式问题</groupName>
      <ability>L2_HalfPunc_CN</ability>
      <abilityName>全半角问题</abilityName>
      <candidateList>
        <item>（</item>
      </candidateList>
      <explain>文本全半角错误。</explain>
      <paraID>5CCD20C1</paraID>
      <start>23</start>
      <end>24</end>
      <status>modified</status>
      <modifiedWord>（</modifiedWord>
      <trackRevisions>false</trackRevisions>
    </reviewItem>
    <reviewItem>
      <errorID>2a875eeb-3de9-4205-b9c7-5446359d6cfd</errorID>
      <errorWord>)</errorWord>
      <group>L1_Format</group>
      <groupName>格式问题</groupName>
      <ability>L2_HalfPunc_CN</ability>
      <abilityName>全半角问题</abilityName>
      <candidateList>
        <item>）</item>
      </candidateList>
      <explain>文本全半角错误。</explain>
      <paraID>5CCD20C1</paraID>
      <start>26</start>
      <end>27</end>
      <status>modified</status>
      <modifiedWord>）</modifiedWord>
      <trackRevisions>false</trackRevisions>
    </reviewItem>
    <reviewItem>
      <errorID>0648833c-1e08-4aba-8b41-0bb59b08b448</errorID>
      <errorWord>(</errorWord>
      <group>L1_Format</group>
      <groupName>格式问题</groupName>
      <ability>L2_HalfPunc_CN</ability>
      <abilityName>全半角问题</abilityName>
      <candidateList>
        <item>（</item>
      </candidateList>
      <explain>文本全半角错误。</explain>
      <paraID>2A773B5D</paraID>
      <start>0</start>
      <end>1</end>
      <status>modified</status>
      <modifiedWord>（</modifiedWord>
      <trackRevisions>false</trackRevisions>
    </reviewItem>
    <reviewItem>
      <errorID>9f9b3930-12b1-42ef-bf12-4f516fa5392c</errorID>
      <errorWord>)</errorWord>
      <group>L1_Format</group>
      <groupName>格式问题</groupName>
      <ability>L2_HalfPunc_CN</ability>
      <abilityName>全半角问题</abilityName>
      <candidateList>
        <item>）</item>
      </candidateList>
      <explain>文本全半角错误。</explain>
      <paraID>2A773B5D</paraID>
      <start>3</start>
      <end>4</end>
      <status>modified</status>
      <modifiedWord>）</modifiedWord>
      <trackRevisions>false</trackRevisions>
    </reviewItem>
    <reviewItem>
      <errorID>14c96b73-58df-4729-a70b-8695909e63e4</errorID>
      <errorWord>支承</errorWord>
      <group>L1_Word</group>
      <groupName>字词问题</groupName>
      <ability>L2_Typo</ability>
      <abilityName>字词错误</abilityName>
      <candidateList>
        <item>支撑</item>
      </candidateList>
      <explain/>
      <paraID>761E82FA</paraID>
      <start>0</start>
      <end>2</end>
      <status>unmodified</status>
      <modifiedWord/>
      <trackRevisions>false</trackRevisions>
    </reviewItem>
    <reviewItem>
      <errorID>98e10219-0e52-4aac-8942-4ea01d77363a</errorID>
      <errorWord>链接</errorWord>
      <group>L1_Word</group>
      <groupName>字词问题</groupName>
      <ability>L2_Typo</ability>
      <abilityName>字词错误</abilityName>
      <candidateList>
        <item>连接</item>
      </candidateList>
      <explain>存在发音相同字词的误用。</explain>
      <paraID>6A407421</paraID>
      <start>14</start>
      <end>16</end>
      <status>modified</status>
      <modifiedWord>连接</modifiedWord>
      <trackRevisions>false</trackRevisions>
    </reviewItem>
    <reviewItem>
      <errorID>a3ff1525-b218-4d7b-be44-b52d2e1293e2</errorID>
      <errorWord>支承</errorWord>
      <group>L1_Word</group>
      <groupName>字词问题</groupName>
      <ability>L2_Typo</ability>
      <abilityName>字词错误</abilityName>
      <candidateList>
        <item>支撑</item>
      </candidateList>
      <explain/>
      <paraID>177FF87E</paraID>
      <start>0</start>
      <end>2</end>
      <status>unmodified</status>
      <modifiedWord/>
      <trackRevisions>false</trackRevisions>
    </reviewItem>
    <reviewItem>
      <errorID>91b79caf-1421-4fd9-b95b-968d73492e77</errorID>
      <errorWord>联接</errorWord>
      <group>L1_Word</group>
      <groupName>字词问题</groupName>
      <ability>L2_Typo</ability>
      <abilityName>字词错误</abilityName>
      <candidateList>
        <item>连接</item>
      </candidateList>
      <explain>存在发音相同字词的误用。</explain>
      <paraID>16D5CD10</paraID>
      <start>18</start>
      <end>20</end>
      <status>modified</status>
      <modifiedWord>连接</modifiedWord>
      <trackRevisions>false</trackRevisions>
    </reviewItem>
    <reviewItem>
      <errorID>de2c3ae1-1029-4a44-893b-6a1a7c99ba8f</errorID>
      <errorWord>、或</errorWord>
      <group>L1_Word</group>
      <groupName>字词问题</groupName>
      <ability>L2_Typo</ability>
      <abilityName>字词错误</abilityName>
      <candidateList>
        <item>或</item>
      </candidateList>
      <explain/>
      <paraID>2C4C46D2</paraID>
      <start>28</start>
      <end>29</end>
      <status>modified</status>
      <modifiedWord>或</modifiedWord>
      <trackRevisions>false</trackRevisions>
    </reviewItem>
  </reviewItems>
  <config/>
</contractReview>
</file>

<file path=customXml/itemProps1.xml><?xml version="1.0" encoding="utf-8"?>
<ds:datastoreItem xmlns:ds="http://schemas.openxmlformats.org/officeDocument/2006/customXml" ds:itemID="{3a0a7d92-f9b7-4d25-89ab-1e6f27f45e90}">
  <ds:schemaRefs/>
</ds:datastoreItem>
</file>

<file path=docProps/app.xml><?xml version="1.0" encoding="utf-8"?>
<Properties xmlns="http://schemas.openxmlformats.org/officeDocument/2006/extended-properties" xmlns:vt="http://schemas.openxmlformats.org/officeDocument/2006/docPropsVTypes">
  <Template>Normal.dotm</Template>
  <Pages>93</Pages>
  <Words>2415</Words>
  <Characters>2868</Characters>
  <Lines>146</Lines>
  <Paragraphs>41</Paragraphs>
  <TotalTime>46</TotalTime>
  <ScaleCrop>false</ScaleCrop>
  <LinksUpToDate>false</LinksUpToDate>
  <CharactersWithSpaces>3119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2017-09-28T05:33:00Z</dcterms:created>
  <dc:creator>435856972@qq.com</dc:creator>
  <cp:lastModifiedBy>Y。</cp:lastModifiedBy>
  <cp:lastPrinted>2026-06-15T14:31:00Z</cp:lastPrinted>
  <dcterms:modified xsi:type="dcterms:W3CDTF">2026-09-29T03:16:03Z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eyJoZGlkIjoiMDI4NDY5YjkxODM1NDk0NmQ5MDFlOWQ5MTdhMTZkNjYiLCJ1c2VySWQiOiIzMjcwMDI1OTAifQ==</vt:lpwstr>
  </property>
  <property fmtid="{D5CDD505-2E9C-101B-9397-08002B2CF9AE}" pid="3" name="KSOProductBuildVer">
    <vt:lpwstr>2052-12.1.0.28505</vt:lpwstr>
  </property>
  <property fmtid="{D5CDD505-2E9C-101B-9397-08002B2CF9AE}" pid="4" name="ICV">
    <vt:lpwstr>C039F90C5C174B3D997A29BC1A40FACA_13</vt:lpwstr>
  </property>
</Properties>
</file>