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7847">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1C923032">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黑体" w:hAnsi="黑体" w:eastAsia="黑体" w:cs="黑体"/>
          <w:sz w:val="32"/>
          <w:szCs w:val="32"/>
          <w:lang w:val="en-US" w:eastAsia="zh-CN"/>
        </w:rPr>
      </w:pPr>
    </w:p>
    <w:p w14:paraId="6A72BD1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b w:val="0"/>
          <w:bCs w:val="0"/>
          <w:sz w:val="44"/>
          <w:szCs w:val="44"/>
        </w:rPr>
      </w:pPr>
      <w:bookmarkStart w:id="0" w:name="_GoBack"/>
      <w:r>
        <w:rPr>
          <w:rFonts w:hint="eastAsia" w:ascii="方正小标宋_GBK" w:hAnsi="方正小标宋_GBK" w:eastAsia="方正小标宋_GBK" w:cs="方正小标宋_GBK"/>
          <w:b w:val="0"/>
          <w:bCs w:val="0"/>
          <w:sz w:val="44"/>
          <w:szCs w:val="44"/>
        </w:rPr>
        <w:t>《最高人民法院关于审理建设工程施工合同纠纷案件适用法律问题的解释（二）》</w:t>
      </w:r>
    </w:p>
    <w:p w14:paraId="480D3C2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b w:val="0"/>
          <w:bCs w:val="0"/>
          <w:sz w:val="44"/>
          <w:szCs w:val="44"/>
        </w:rPr>
        <w:t>专题宣贯会</w:t>
      </w:r>
      <w:r>
        <w:rPr>
          <w:rFonts w:hint="eastAsia" w:ascii="方正小标宋_GBK" w:hAnsi="方正小标宋_GBK" w:eastAsia="方正小标宋_GBK" w:cs="方正小标宋_GBK"/>
          <w:sz w:val="44"/>
          <w:szCs w:val="44"/>
          <w:lang w:val="en-US" w:eastAsia="zh-CN"/>
        </w:rPr>
        <w:t>宣贯内容</w:t>
      </w:r>
    </w:p>
    <w:bookmarkEnd w:id="0"/>
    <w:p w14:paraId="319BB61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sz w:val="44"/>
          <w:szCs w:val="44"/>
          <w:lang w:val="en-US" w:eastAsia="zh-CN"/>
        </w:rPr>
      </w:pPr>
    </w:p>
    <w:p w14:paraId="257AB3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《建工解释二》整体框架与立法脉络</w:t>
      </w:r>
    </w:p>
    <w:p w14:paraId="1A1289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解释体例与逻辑结构：认定合同效力—确定主体责任—结算工程价款—保护特殊权益；与原司法解释的衔接适用规则；对建筑行业的整体影响评估。</w:t>
      </w:r>
    </w:p>
    <w:p w14:paraId="1BBB8CD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重点条文解读与实务应对</w:t>
      </w:r>
    </w:p>
    <w:p w14:paraId="6A1ECA7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第一模块：合同效力认定（第1-2条）</w:t>
      </w:r>
    </w:p>
    <w:p w14:paraId="7084060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强制招标范围限缩后的合同效力补正规则（"起诉时"标准）；标前实质性谈判与"阴阳合同"的无效认定；规划审批手续对合同效力的影响及补正。</w:t>
      </w:r>
    </w:p>
    <w:p w14:paraId="1AF5A7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第二模块：资质与主体责任（第3-7条）</w:t>
      </w:r>
    </w:p>
    <w:p w14:paraId="6BA94E9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出借资质合同无效的认定标准；挂靠人向发包人主张权利的边界（区分发包人善意与否）；实际施工人权利救济路径的调整。</w:t>
      </w:r>
    </w:p>
    <w:p w14:paraId="7638AB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第三模块：工程价款结算（第9-14条）</w:t>
      </w:r>
    </w:p>
    <w:p w14:paraId="72D21D6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工期顺延的认定规则与默示条款适用；建设工程价款结算的鉴定规则；工程质量保证金返还期限的起算与计算；合同解除后质量保证金的预留与返还。</w:t>
      </w:r>
    </w:p>
    <w:p w14:paraId="7BEEB95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第四模块：优先受偿权保护（第17-21条）</w:t>
      </w:r>
    </w:p>
    <w:p w14:paraId="001685F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可优先受偿的工程价款范围界定；优先受偿权的行使方式（折价协议的效力认定）；优先受偿权的"物上代位"效力；行使期限的起算点调整（结算协议、工期顺延的影响）；放弃或限制优先受偿权的效力边界。</w:t>
      </w:r>
    </w:p>
    <w:p w14:paraId="3D283A6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第五模块：其他重要规则</w:t>
      </w:r>
    </w:p>
    <w:p w14:paraId="6D7812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鉴定程序的规范与质证要求；线索移送义务的强制性规定。</w:t>
      </w:r>
    </w:p>
    <w:p w14:paraId="487802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E7F3501-534C-4411-AB23-8D49672295D6}"/>
  </w:font>
  <w:font w:name="仿宋">
    <w:panose1 w:val="02010609060101010101"/>
    <w:charset w:val="86"/>
    <w:family w:val="auto"/>
    <w:pitch w:val="default"/>
    <w:sig w:usb0="800002BF" w:usb1="38CF7CFA" w:usb2="00000016" w:usb3="00000000" w:csb0="00040001" w:csb1="00000000"/>
    <w:embedRegular r:id="rId2" w:fontKey="{E17F579A-4478-4C5E-825B-65727DB2C556}"/>
  </w:font>
  <w:font w:name="方正小标宋_GBK">
    <w:panose1 w:val="02000000000000000000"/>
    <w:charset w:val="86"/>
    <w:family w:val="auto"/>
    <w:pitch w:val="default"/>
    <w:sig w:usb0="A00002BF" w:usb1="38CF7CFA" w:usb2="00082016" w:usb3="00000000" w:csb0="00040001" w:csb1="00000000"/>
    <w:embedRegular r:id="rId3" w:fontKey="{EB05C203-6604-4A3C-8EE3-C793C3F6C031}"/>
  </w:font>
  <w:font w:name="方正黑体_GBK">
    <w:panose1 w:val="02010600010101010101"/>
    <w:charset w:val="86"/>
    <w:family w:val="auto"/>
    <w:pitch w:val="default"/>
    <w:sig w:usb0="00000001" w:usb1="080E0000" w:usb2="00000000" w:usb3="00000000" w:csb0="00040000" w:csb1="00000000"/>
    <w:embedRegular r:id="rId4" w:fontKey="{1A91C829-36E5-4928-8F88-9250D08603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9F79AE"/>
    <w:rsid w:val="1D9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2026-10-16T01:12:00Z</dcterms:created>
  <dc:creator>Y。</dc:creator>
  <cp:lastModifiedBy>Y。</cp:lastModifiedBy>
  <dcterms:modified xsi:type="dcterms:W3CDTF">2026-10-16T01:18:58Z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1DEEAAE2D3ED4ECBB85139C669E36482_11</vt:lpwstr>
  </property>
  <property fmtid="{D5CDD505-2E9C-101B-9397-08002B2CF9AE}" pid="4" name="KSOTemplateDocerSaveRecord">
    <vt:lpwstr>eyJoZGlkIjoiMDI4NDY5YjkxODM1NDk0NmQ5MDFlOWQ5MTdhMTZkNjYiLCJ1c2VySWQiOiIzMjcwMDI1OTAifQ==</vt:lpwstr>
  </property>
</Properties>
</file>